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2DBA5B3A" w14:textId="623103B5" w:rsidR="00CA0E6C" w:rsidRPr="00B669A0" w:rsidRDefault="00CA0E6C" w:rsidP="00B669A0">
      <w:pPr>
        <w:spacing w:after="0"/>
        <w:rPr>
          <w:b/>
          <w:bCs/>
          <w:lang w:val="en-AU"/>
        </w:rPr>
      </w:pPr>
    </w:p>
    <w:p w14:paraId="465166AB" w14:textId="49C932DA" w:rsidR="001B7CA2" w:rsidRPr="0002213A" w:rsidRDefault="007D0186" w:rsidP="00B669A0">
      <w:pPr>
        <w:pBdr>
          <w:bottom w:val="single" w:sz="4" w:space="1" w:color="auto"/>
        </w:pBdr>
        <w:rPr>
          <w:b/>
          <w:bCs/>
          <w:lang w:val="en-GB"/>
        </w:rPr>
      </w:pPr>
      <w:r>
        <w:rPr>
          <w:b/>
          <w:lang w:val="en-AU"/>
        </w:rPr>
        <w:t xml:space="preserve">SWEDEN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534D5874"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2B227A15" w14:textId="120A7FA4" w:rsidR="006E4FC8" w:rsidRDefault="006E4FC8" w:rsidP="00691FCD">
      <w:pPr>
        <w:spacing w:before="120" w:line="240" w:lineRule="auto"/>
        <w:jc w:val="both"/>
        <w:rPr>
          <w:bCs/>
          <w:iCs/>
          <w:lang w:val="en-GB"/>
        </w:rPr>
      </w:pPr>
      <w:r>
        <w:rPr>
          <w:bCs/>
          <w:iCs/>
          <w:lang w:val="en-GB"/>
        </w:rPr>
        <w:t>In its 2021</w:t>
      </w:r>
      <w:r w:rsidRPr="0032554E">
        <w:rPr>
          <w:bCs/>
          <w:iCs/>
          <w:lang w:val="en-GB"/>
        </w:rPr>
        <w:t xml:space="preserve"> concluding observations,</w:t>
      </w:r>
      <w:r>
        <w:rPr>
          <w:bCs/>
          <w:iCs/>
          <w:lang w:val="en-GB"/>
        </w:rPr>
        <w:t xml:space="preserve"> the </w:t>
      </w:r>
      <w:r w:rsidR="00A21F09">
        <w:rPr>
          <w:bCs/>
          <w:iCs/>
          <w:lang w:val="en-GB"/>
        </w:rPr>
        <w:t xml:space="preserve">UN </w:t>
      </w:r>
      <w:r w:rsidRPr="006E4FC8">
        <w:rPr>
          <w:bCs/>
          <w:iCs/>
          <w:lang w:val="en-GB"/>
        </w:rPr>
        <w:t xml:space="preserve">Committee on the Elimination of Discrimination </w:t>
      </w:r>
      <w:r w:rsidRPr="006E4FC8">
        <w:rPr>
          <w:bCs/>
          <w:iCs/>
          <w:lang w:val="en-GB"/>
        </w:rPr>
        <w:br/>
        <w:t>against Women</w:t>
      </w:r>
      <w:r>
        <w:rPr>
          <w:lang w:val="en-US"/>
        </w:rPr>
        <w:t xml:space="preserve"> recommended </w:t>
      </w:r>
      <w:r w:rsidR="00827C2F">
        <w:rPr>
          <w:lang w:val="en-US"/>
        </w:rPr>
        <w:t xml:space="preserve">Sweden </w:t>
      </w:r>
      <w:r w:rsidR="00FF6D8D">
        <w:rPr>
          <w:lang w:val="en-US"/>
        </w:rPr>
        <w:t xml:space="preserve">to </w:t>
      </w:r>
      <w:r w:rsidRPr="00714D95">
        <w:rPr>
          <w:lang w:val="en-US"/>
        </w:rPr>
        <w:t>adopt legislative and policy measures to ensure equal access to legal services to mothers of stateless children</w:t>
      </w:r>
      <w:r w:rsidR="00A04D5E">
        <w:rPr>
          <w:lang w:val="en-US"/>
        </w:rPr>
        <w:t xml:space="preserve">, </w:t>
      </w:r>
      <w:r w:rsidR="00A04D5E">
        <w:rPr>
          <w:bCs/>
          <w:iCs/>
          <w:lang w:val="en-GB"/>
        </w:rPr>
        <w:t>to address</w:t>
      </w:r>
      <w:r w:rsidR="001844C0" w:rsidRPr="001844C0">
        <w:rPr>
          <w:bCs/>
          <w:iCs/>
          <w:lang w:val="en-GB"/>
        </w:rPr>
        <w:t xml:space="preserve"> intersecting forms of discrimination against women and girls with disabilities and </w:t>
      </w:r>
      <w:r w:rsidR="00A04D5E">
        <w:rPr>
          <w:bCs/>
          <w:iCs/>
          <w:lang w:val="en-GB"/>
        </w:rPr>
        <w:t xml:space="preserve">to </w:t>
      </w:r>
      <w:r w:rsidR="001844C0" w:rsidRPr="001844C0">
        <w:rPr>
          <w:bCs/>
          <w:iCs/>
          <w:lang w:val="en-GB"/>
        </w:rPr>
        <w:t>ensure their inclusion and access to all rights under the Convention</w:t>
      </w:r>
      <w:r w:rsidR="002171B7">
        <w:rPr>
          <w:bCs/>
          <w:iCs/>
          <w:lang w:val="en-GB"/>
        </w:rPr>
        <w:t xml:space="preserve"> on the elimination of all forms of discrimination against women</w:t>
      </w:r>
      <w:r w:rsidR="001844C0" w:rsidRPr="001844C0">
        <w:rPr>
          <w:bCs/>
          <w:iCs/>
          <w:lang w:val="en-GB"/>
        </w:rPr>
        <w:t>, including by eliminating restrictions on their legal capacity and ensuring their access to justice (</w:t>
      </w:r>
      <w:hyperlink r:id="rId8" w:history="1">
        <w:r w:rsidR="002171B7" w:rsidRPr="007D0186">
          <w:rPr>
            <w:rStyle w:val="Hyperlink"/>
            <w:bCs/>
            <w:lang w:val="en-AU"/>
          </w:rPr>
          <w:t>CEDAW/C/SWE/CO/10</w:t>
        </w:r>
      </w:hyperlink>
      <w:r w:rsidR="002171B7">
        <w:rPr>
          <w:rStyle w:val="Hyperlink"/>
          <w:bCs/>
          <w:lang w:val="en-AU"/>
        </w:rPr>
        <w:t xml:space="preserve">, </w:t>
      </w:r>
      <w:r w:rsidR="00451C0D">
        <w:rPr>
          <w:bCs/>
          <w:iCs/>
          <w:lang w:val="en-GB"/>
        </w:rPr>
        <w:t>para</w:t>
      </w:r>
      <w:r w:rsidR="001F3870">
        <w:rPr>
          <w:bCs/>
          <w:iCs/>
          <w:lang w:val="en-GB"/>
        </w:rPr>
        <w:t>s</w:t>
      </w:r>
      <w:r w:rsidR="00451C0D">
        <w:rPr>
          <w:bCs/>
          <w:iCs/>
          <w:lang w:val="en-GB"/>
        </w:rPr>
        <w:t xml:space="preserve"> </w:t>
      </w:r>
      <w:r w:rsidR="001C2305">
        <w:rPr>
          <w:bCs/>
          <w:iCs/>
          <w:lang w:val="en-GB"/>
        </w:rPr>
        <w:t xml:space="preserve">30, </w:t>
      </w:r>
      <w:r w:rsidR="00451C0D">
        <w:rPr>
          <w:bCs/>
          <w:iCs/>
          <w:lang w:val="en-GB"/>
        </w:rPr>
        <w:t>42</w:t>
      </w:r>
      <w:r w:rsidR="001F3870">
        <w:rPr>
          <w:bCs/>
          <w:iCs/>
          <w:lang w:val="en-GB"/>
        </w:rPr>
        <w:t xml:space="preserve"> (a)</w:t>
      </w:r>
      <w:r w:rsidR="002171B7">
        <w:rPr>
          <w:bCs/>
          <w:iCs/>
          <w:lang w:val="en-GB"/>
        </w:rPr>
        <w:t>)</w:t>
      </w:r>
      <w:r w:rsidR="001844C0" w:rsidRPr="001844C0">
        <w:rPr>
          <w:bCs/>
          <w:iCs/>
          <w:lang w:val="en-GB"/>
        </w:rPr>
        <w:t>.</w:t>
      </w:r>
      <w:r w:rsidR="00706468">
        <w:rPr>
          <w:bCs/>
          <w:iCs/>
          <w:lang w:val="en-GB"/>
        </w:rPr>
        <w:t xml:space="preserve"> </w:t>
      </w:r>
    </w:p>
    <w:p w14:paraId="6D27357D" w14:textId="190AE38E" w:rsidR="00450E6D" w:rsidRDefault="00694C36" w:rsidP="00FF5A3B">
      <w:pPr>
        <w:widowControl w:val="0"/>
        <w:tabs>
          <w:tab w:val="left" w:pos="1217"/>
        </w:tabs>
        <w:autoSpaceDE w:val="0"/>
        <w:autoSpaceDN w:val="0"/>
        <w:spacing w:before="118" w:after="0" w:line="240" w:lineRule="auto"/>
        <w:rPr>
          <w:i/>
          <w:lang w:val="en-US"/>
        </w:rPr>
      </w:pPr>
      <w:r>
        <w:rPr>
          <w:i/>
          <w:lang w:val="en-US"/>
        </w:rPr>
        <w:t>12.</w:t>
      </w:r>
      <w:r w:rsidRPr="00694C36">
        <w:rPr>
          <w:i/>
          <w:lang w:val="en-US"/>
        </w:rPr>
        <w:t>Resources of the judiciary</w:t>
      </w:r>
      <w:r w:rsidRPr="00694C36">
        <w:rPr>
          <w:i/>
          <w:spacing w:val="-2"/>
          <w:lang w:val="en-US"/>
        </w:rPr>
        <w:t xml:space="preserve"> </w:t>
      </w:r>
      <w:r w:rsidRPr="00694C36">
        <w:rPr>
          <w:i/>
          <w:lang w:val="en-US"/>
        </w:rPr>
        <w:t>(human/financial/material</w:t>
      </w:r>
      <w:r>
        <w:rPr>
          <w:rStyle w:val="FootnoteReference"/>
          <w:i/>
        </w:rPr>
        <w:footnoteReference w:id="1"/>
      </w:r>
      <w:r w:rsidRPr="00694C36">
        <w:rPr>
          <w:i/>
          <w:lang w:val="en-US"/>
        </w:rPr>
        <w:t>)</w:t>
      </w:r>
    </w:p>
    <w:p w14:paraId="51C86CF7" w14:textId="7AE787BC" w:rsidR="00A04D5E" w:rsidRPr="00691FCD" w:rsidRDefault="00A04D5E" w:rsidP="00691FCD">
      <w:pPr>
        <w:pStyle w:val="NormalWeb"/>
        <w:jc w:val="both"/>
        <w:rPr>
          <w:rFonts w:asciiTheme="minorHAnsi" w:hAnsiTheme="minorHAnsi" w:cstheme="minorHAnsi"/>
          <w:sz w:val="22"/>
          <w:szCs w:val="22"/>
        </w:rPr>
      </w:pPr>
      <w:r w:rsidRPr="00691FCD">
        <w:rPr>
          <w:rFonts w:asciiTheme="minorHAnsi" w:hAnsiTheme="minorHAnsi" w:cstheme="minorHAnsi"/>
          <w:sz w:val="22"/>
          <w:szCs w:val="22"/>
        </w:rPr>
        <w:t>In April 2021, the Special Rapporteur on the independence of judges and lawyers in his report on “The coronavirus disease (COVID-19) pandemic: impact and challenges for independent justice” noted that access to justice and due process cannot be protected if the courts are not given the guarantees, combined with adequate funding and resources, needed to meet the new challenges. In Sweden, the judicial system continued to rely on budgetary resources allocated prior to the pandemic, without any additional funds being approved (</w:t>
      </w:r>
      <w:hyperlink r:id="rId9" w:history="1">
        <w:r w:rsidRPr="00691FCD">
          <w:rPr>
            <w:rStyle w:val="Hyperlink"/>
            <w:rFonts w:asciiTheme="minorHAnsi" w:hAnsiTheme="minorHAnsi" w:cstheme="minorHAnsi"/>
            <w:sz w:val="22"/>
            <w:szCs w:val="22"/>
          </w:rPr>
          <w:t>A/HRC/47/35</w:t>
        </w:r>
      </w:hyperlink>
      <w:r w:rsidRPr="00691FCD">
        <w:rPr>
          <w:rFonts w:asciiTheme="minorHAnsi" w:hAnsiTheme="minorHAnsi" w:cstheme="minorHAnsi"/>
          <w:sz w:val="22"/>
          <w:szCs w:val="22"/>
        </w:rPr>
        <w:t>, para. 57).</w:t>
      </w:r>
    </w:p>
    <w:p w14:paraId="021034EF" w14:textId="562D2F0C" w:rsidR="00694C36" w:rsidRDefault="00694C36" w:rsidP="00FF5A3B">
      <w:pPr>
        <w:widowControl w:val="0"/>
        <w:tabs>
          <w:tab w:val="left" w:pos="1216"/>
        </w:tabs>
        <w:autoSpaceDE w:val="0"/>
        <w:autoSpaceDN w:val="0"/>
        <w:spacing w:before="120" w:after="0" w:line="240" w:lineRule="auto"/>
        <w:rPr>
          <w:i/>
          <w:lang w:val="en-US"/>
        </w:rPr>
      </w:pPr>
      <w:r>
        <w:rPr>
          <w:i/>
          <w:lang w:val="en-US"/>
        </w:rPr>
        <w:t>13.</w:t>
      </w:r>
      <w:r w:rsidRPr="00694C36">
        <w:rPr>
          <w:i/>
          <w:lang w:val="en-US"/>
        </w:rPr>
        <w:t>Training of justice professionals (including judges, prosecutors, lawyers, court</w:t>
      </w:r>
      <w:r w:rsidRPr="00694C36">
        <w:rPr>
          <w:i/>
          <w:spacing w:val="-15"/>
          <w:lang w:val="en-US"/>
        </w:rPr>
        <w:t xml:space="preserve"> </w:t>
      </w:r>
      <w:r w:rsidRPr="00694C36">
        <w:rPr>
          <w:i/>
          <w:lang w:val="en-US"/>
        </w:rPr>
        <w:t>staff)</w:t>
      </w:r>
    </w:p>
    <w:p w14:paraId="41EAA66A" w14:textId="561D563D" w:rsidR="00AA28FE" w:rsidRDefault="00873B37" w:rsidP="00EC5235">
      <w:pPr>
        <w:widowControl w:val="0"/>
        <w:tabs>
          <w:tab w:val="left" w:pos="1216"/>
        </w:tabs>
        <w:autoSpaceDE w:val="0"/>
        <w:autoSpaceDN w:val="0"/>
        <w:spacing w:before="120" w:after="0" w:line="240" w:lineRule="auto"/>
        <w:jc w:val="both"/>
        <w:rPr>
          <w:bCs/>
          <w:iCs/>
          <w:lang w:val="en-GB"/>
        </w:rPr>
      </w:pPr>
      <w:r>
        <w:rPr>
          <w:bCs/>
          <w:iCs/>
          <w:lang w:val="en-GB"/>
        </w:rPr>
        <w:t>In its 2021</w:t>
      </w:r>
      <w:r w:rsidRPr="0032554E">
        <w:rPr>
          <w:bCs/>
          <w:iCs/>
          <w:lang w:val="en-GB"/>
        </w:rPr>
        <w:t xml:space="preserve"> concluding observations,</w:t>
      </w:r>
      <w:r>
        <w:rPr>
          <w:bCs/>
          <w:iCs/>
          <w:lang w:val="en-GB"/>
        </w:rPr>
        <w:t xml:space="preserve"> the </w:t>
      </w:r>
      <w:r w:rsidR="00A21F09">
        <w:rPr>
          <w:bCs/>
          <w:iCs/>
          <w:lang w:val="en-GB"/>
        </w:rPr>
        <w:t xml:space="preserve">UN </w:t>
      </w:r>
      <w:r w:rsidRPr="006E4FC8">
        <w:rPr>
          <w:bCs/>
          <w:iCs/>
          <w:lang w:val="en-GB"/>
        </w:rPr>
        <w:t xml:space="preserve">Committee on the Elimination of Discrimination </w:t>
      </w:r>
      <w:r w:rsidRPr="006E4FC8">
        <w:rPr>
          <w:bCs/>
          <w:iCs/>
          <w:lang w:val="en-GB"/>
        </w:rPr>
        <w:br/>
        <w:t>against Women</w:t>
      </w:r>
      <w:r>
        <w:rPr>
          <w:lang w:val="en-US"/>
        </w:rPr>
        <w:t xml:space="preserve"> </w:t>
      </w:r>
      <w:r w:rsidRPr="00873B37">
        <w:rPr>
          <w:bCs/>
          <w:iCs/>
          <w:lang w:val="en-GB"/>
        </w:rPr>
        <w:t xml:space="preserve">recommended to </w:t>
      </w:r>
      <w:r w:rsidR="003A0D9D" w:rsidRPr="00873B37">
        <w:rPr>
          <w:bCs/>
          <w:iCs/>
          <w:lang w:val="en-GB"/>
        </w:rPr>
        <w:t>provide mandatory training for prosecutors, the police and other law enforcement officials and promote training for members of the judiciary on gender-based violence as grounds for international protection and on gender-sensitive investigation and interrogation procedures</w:t>
      </w:r>
      <w:r w:rsidR="001C2305">
        <w:rPr>
          <w:bCs/>
          <w:iCs/>
          <w:lang w:val="en-GB"/>
        </w:rPr>
        <w:t>.</w:t>
      </w:r>
      <w:r w:rsidRPr="00873B37">
        <w:rPr>
          <w:bCs/>
          <w:iCs/>
          <w:lang w:val="en-GB"/>
        </w:rPr>
        <w:t xml:space="preserve"> </w:t>
      </w:r>
      <w:r>
        <w:rPr>
          <w:bCs/>
          <w:iCs/>
          <w:lang w:val="en-GB"/>
        </w:rPr>
        <w:t xml:space="preserve">It also recommended Sweden to </w:t>
      </w:r>
      <w:r w:rsidR="00A21F09">
        <w:rPr>
          <w:bCs/>
          <w:iCs/>
          <w:lang w:val="en-GB"/>
        </w:rPr>
        <w:t>p</w:t>
      </w:r>
      <w:r w:rsidR="006F2AEF" w:rsidRPr="00873B37">
        <w:rPr>
          <w:bCs/>
          <w:iCs/>
          <w:lang w:val="en-GB"/>
        </w:rPr>
        <w:t>romote capacity-building programmes for judges, prosecutors and lawyers on the Convention</w:t>
      </w:r>
      <w:r w:rsidR="007F4BCB">
        <w:rPr>
          <w:bCs/>
          <w:iCs/>
          <w:lang w:val="en-GB"/>
        </w:rPr>
        <w:t xml:space="preserve"> on the elimination of all forms of discrimination against women</w:t>
      </w:r>
      <w:r w:rsidR="006F2AEF" w:rsidRPr="00873B37">
        <w:rPr>
          <w:bCs/>
          <w:iCs/>
          <w:lang w:val="en-GB"/>
        </w:rPr>
        <w:t xml:space="preserve">, the Optional Protocol thereto, the Committee’s general recommendations and its findings on individual communications and inquiry findings, to enable them to </w:t>
      </w:r>
      <w:r w:rsidR="0062626E">
        <w:rPr>
          <w:bCs/>
          <w:iCs/>
          <w:lang w:val="en-GB"/>
        </w:rPr>
        <w:t xml:space="preserve">invoke those instruments </w:t>
      </w:r>
      <w:r w:rsidR="006F2AEF" w:rsidRPr="00873B37">
        <w:rPr>
          <w:bCs/>
          <w:iCs/>
          <w:lang w:val="en-GB"/>
        </w:rPr>
        <w:t xml:space="preserve"> in the courts </w:t>
      </w:r>
      <w:r w:rsidR="00827C2F">
        <w:rPr>
          <w:bCs/>
          <w:iCs/>
          <w:lang w:val="en-GB"/>
        </w:rPr>
        <w:t xml:space="preserve">in Sweden </w:t>
      </w:r>
      <w:r w:rsidR="006F2AEF" w:rsidRPr="00873B37">
        <w:rPr>
          <w:bCs/>
          <w:iCs/>
          <w:lang w:val="en-GB"/>
        </w:rPr>
        <w:t>and interpret d</w:t>
      </w:r>
      <w:r w:rsidRPr="00873B37">
        <w:rPr>
          <w:bCs/>
          <w:iCs/>
          <w:lang w:val="en-GB"/>
        </w:rPr>
        <w:t xml:space="preserve">omestic legislation accordingly </w:t>
      </w:r>
      <w:r>
        <w:rPr>
          <w:bCs/>
          <w:iCs/>
          <w:lang w:val="en-GB"/>
        </w:rPr>
        <w:t xml:space="preserve">and to sensitize  </w:t>
      </w:r>
      <w:r w:rsidRPr="00873B37">
        <w:rPr>
          <w:bCs/>
          <w:iCs/>
          <w:lang w:val="en-GB"/>
        </w:rPr>
        <w:t>the judiciary on the harmful impact of violence in the domestic sphere on a child’s development (</w:t>
      </w:r>
      <w:hyperlink r:id="rId10" w:history="1">
        <w:r w:rsidR="007D0186" w:rsidRPr="007D0186">
          <w:rPr>
            <w:rStyle w:val="Hyperlink"/>
            <w:bCs/>
            <w:lang w:val="en-AU"/>
          </w:rPr>
          <w:t>CEDAW/C/SWE/CO/10</w:t>
        </w:r>
      </w:hyperlink>
      <w:r w:rsidR="007D0186">
        <w:rPr>
          <w:bCs/>
          <w:lang w:val="en-AU"/>
        </w:rPr>
        <w:t xml:space="preserve"> p</w:t>
      </w:r>
      <w:r w:rsidR="003A0D9D" w:rsidRPr="00873B37">
        <w:rPr>
          <w:bCs/>
          <w:iCs/>
          <w:lang w:val="en-GB"/>
        </w:rPr>
        <w:t>ara</w:t>
      </w:r>
      <w:r w:rsidR="000754C3">
        <w:rPr>
          <w:bCs/>
          <w:iCs/>
          <w:lang w:val="en-GB"/>
        </w:rPr>
        <w:t>s.</w:t>
      </w:r>
      <w:r w:rsidR="001C2305">
        <w:rPr>
          <w:bCs/>
          <w:iCs/>
          <w:lang w:val="en-GB"/>
        </w:rPr>
        <w:t xml:space="preserve"> 12</w:t>
      </w:r>
      <w:r w:rsidR="000754C3">
        <w:rPr>
          <w:bCs/>
          <w:iCs/>
          <w:lang w:val="en-GB"/>
        </w:rPr>
        <w:t xml:space="preserve"> (c)</w:t>
      </w:r>
      <w:r w:rsidR="00C64882">
        <w:rPr>
          <w:bCs/>
          <w:iCs/>
          <w:lang w:val="en-GB"/>
        </w:rPr>
        <w:t>, 24 (d)</w:t>
      </w:r>
      <w:r w:rsidRPr="00873B37">
        <w:rPr>
          <w:bCs/>
          <w:iCs/>
          <w:lang w:val="en-GB"/>
        </w:rPr>
        <w:t>).</w:t>
      </w:r>
    </w:p>
    <w:p w14:paraId="5D872E94" w14:textId="01768F08" w:rsidR="003A0D9D" w:rsidRPr="00EC080A" w:rsidRDefault="00AA28FE" w:rsidP="00EC080A">
      <w:pPr>
        <w:widowControl w:val="0"/>
        <w:tabs>
          <w:tab w:val="left" w:pos="1216"/>
        </w:tabs>
        <w:autoSpaceDE w:val="0"/>
        <w:autoSpaceDN w:val="0"/>
        <w:spacing w:before="120" w:after="0" w:line="240" w:lineRule="auto"/>
        <w:jc w:val="both"/>
        <w:rPr>
          <w:bCs/>
          <w:iCs/>
          <w:lang w:val="en-GB"/>
        </w:rPr>
      </w:pPr>
      <w:r>
        <w:rPr>
          <w:bCs/>
          <w:iCs/>
          <w:lang w:val="en-GB"/>
        </w:rPr>
        <w:t xml:space="preserve">In </w:t>
      </w:r>
      <w:r w:rsidR="00EC080A">
        <w:rPr>
          <w:bCs/>
          <w:iCs/>
          <w:lang w:val="en-GB"/>
        </w:rPr>
        <w:t xml:space="preserve">its </w:t>
      </w:r>
      <w:r w:rsidR="006C4984">
        <w:rPr>
          <w:bCs/>
          <w:iCs/>
          <w:lang w:val="en-GB"/>
        </w:rPr>
        <w:t>c</w:t>
      </w:r>
      <w:r w:rsidR="00EC080A" w:rsidRPr="00EC080A">
        <w:rPr>
          <w:bCs/>
          <w:iCs/>
          <w:lang w:val="en-GB"/>
        </w:rPr>
        <w:t xml:space="preserve">oncluding observations </w:t>
      </w:r>
      <w:r w:rsidR="006C4984">
        <w:rPr>
          <w:bCs/>
          <w:iCs/>
          <w:lang w:val="en-GB"/>
        </w:rPr>
        <w:t xml:space="preserve">in </w:t>
      </w:r>
      <w:r>
        <w:rPr>
          <w:bCs/>
          <w:iCs/>
          <w:lang w:val="en-GB"/>
        </w:rPr>
        <w:t xml:space="preserve">December 2021, </w:t>
      </w:r>
      <w:r>
        <w:rPr>
          <w:bCs/>
          <w:iCs/>
          <w:lang w:val="en-US"/>
        </w:rPr>
        <w:t xml:space="preserve">the Committee against Torture </w:t>
      </w:r>
      <w:bookmarkStart w:id="0" w:name="_GoBack"/>
      <w:bookmarkEnd w:id="0"/>
      <w:r>
        <w:rPr>
          <w:bCs/>
          <w:iCs/>
          <w:lang w:val="en-US"/>
        </w:rPr>
        <w:t>regretted</w:t>
      </w:r>
      <w:r w:rsidRPr="00AA28FE">
        <w:rPr>
          <w:bCs/>
          <w:iCs/>
          <w:lang w:val="en-US"/>
        </w:rPr>
        <w:t xml:space="preserve"> the lack of specific training provided to law enforcement </w:t>
      </w:r>
      <w:r w:rsidR="00C64882">
        <w:rPr>
          <w:bCs/>
          <w:iCs/>
          <w:lang w:val="en-US"/>
        </w:rPr>
        <w:t xml:space="preserve">officials, judges, prosecutors </w:t>
      </w:r>
      <w:r w:rsidRPr="00AA28FE">
        <w:rPr>
          <w:bCs/>
          <w:iCs/>
          <w:lang w:val="en-US"/>
        </w:rPr>
        <w:t>dealing with detained persons on how to detect and document physical and psychological sequelae of tortu</w:t>
      </w:r>
      <w:r>
        <w:rPr>
          <w:bCs/>
          <w:iCs/>
          <w:lang w:val="en-US"/>
        </w:rPr>
        <w:t xml:space="preserve">re and ill-treatment. The Committee recommended that Sweden </w:t>
      </w:r>
      <w:r w:rsidR="008B03FD">
        <w:rPr>
          <w:bCs/>
          <w:iCs/>
          <w:lang w:val="en-US"/>
        </w:rPr>
        <w:t xml:space="preserve">should: </w:t>
      </w:r>
      <w:r>
        <w:rPr>
          <w:bCs/>
          <w:iCs/>
          <w:lang w:val="en-US"/>
        </w:rPr>
        <w:t>f</w:t>
      </w:r>
      <w:r w:rsidRPr="00AA28FE">
        <w:rPr>
          <w:bCs/>
          <w:iCs/>
          <w:lang w:val="en-US"/>
        </w:rPr>
        <w:t>urther develop mandatory training programmes to ensure that all public officials are well acquainted with the provisions of the Convention</w:t>
      </w:r>
      <w:r w:rsidR="008B03FD">
        <w:rPr>
          <w:bCs/>
          <w:iCs/>
          <w:lang w:val="en-US"/>
        </w:rPr>
        <w:t xml:space="preserve"> on </w:t>
      </w:r>
      <w:r w:rsidR="008B03FD" w:rsidRPr="008B03FD">
        <w:rPr>
          <w:bCs/>
          <w:iCs/>
          <w:lang w:val="en-US"/>
        </w:rPr>
        <w:t>against Torture and Other Cruel, Inhuman or Degrading Treatment or Punishment</w:t>
      </w:r>
      <w:r w:rsidR="008B03FD">
        <w:rPr>
          <w:bCs/>
          <w:iCs/>
          <w:lang w:val="en-US"/>
        </w:rPr>
        <w:t xml:space="preserve">; ensure that all relevant staff </w:t>
      </w:r>
      <w:r w:rsidRPr="00AA28FE">
        <w:rPr>
          <w:bCs/>
          <w:iCs/>
          <w:lang w:val="en-US"/>
        </w:rPr>
        <w:t>are specifically trained to identify cases of torture and ill-treatment, in accordance with the Manual on the Effective Investigation and Documentation of Torture and Other Cruel, Inhuman or Degrading Treatment or Punishmen</w:t>
      </w:r>
      <w:r w:rsidR="008B03FD">
        <w:rPr>
          <w:bCs/>
          <w:iCs/>
          <w:lang w:val="en-US"/>
        </w:rPr>
        <w:t>t (the Istanbul Protocol); and d</w:t>
      </w:r>
      <w:r w:rsidRPr="00AA28FE">
        <w:rPr>
          <w:bCs/>
          <w:iCs/>
          <w:lang w:val="en-US"/>
        </w:rPr>
        <w:t xml:space="preserve">evelop a methodology for assessing the effectiveness of training programmes in reducing the number of cases </w:t>
      </w:r>
      <w:r w:rsidRPr="00AA28FE">
        <w:rPr>
          <w:bCs/>
          <w:iCs/>
          <w:lang w:val="en-US"/>
        </w:rPr>
        <w:lastRenderedPageBreak/>
        <w:t>of torture and ill-treatment and in ensuring the identification, documentation and investigation of such acts, as well as the pr</w:t>
      </w:r>
      <w:r w:rsidR="008B03FD">
        <w:rPr>
          <w:bCs/>
          <w:iCs/>
          <w:lang w:val="en-US"/>
        </w:rPr>
        <w:t>osecution of those responsible (</w:t>
      </w:r>
      <w:hyperlink r:id="rId11" w:history="1">
        <w:r w:rsidR="008B03FD" w:rsidRPr="008B03FD">
          <w:rPr>
            <w:rStyle w:val="Hyperlink"/>
            <w:bCs/>
            <w:iCs/>
            <w:lang w:val="en-US"/>
          </w:rPr>
          <w:t>CAT/C/SWE/CO/8</w:t>
        </w:r>
      </w:hyperlink>
      <w:r w:rsidR="008B03FD">
        <w:rPr>
          <w:bCs/>
          <w:iCs/>
          <w:lang w:val="en-US"/>
        </w:rPr>
        <w:t>, paras. 39,40 (a), (b) and (c)).</w:t>
      </w:r>
    </w:p>
    <w:p w14:paraId="663EC294" w14:textId="77777777" w:rsidR="00FF5A3B" w:rsidRPr="00FF5A3B" w:rsidRDefault="00FF5A3B" w:rsidP="00FF5A3B">
      <w:pPr>
        <w:widowControl w:val="0"/>
        <w:tabs>
          <w:tab w:val="left" w:pos="1217"/>
        </w:tabs>
        <w:autoSpaceDE w:val="0"/>
        <w:autoSpaceDN w:val="0"/>
        <w:spacing w:before="121" w:after="0" w:line="240" w:lineRule="auto"/>
        <w:ind w:right="425"/>
        <w:rPr>
          <w:i/>
          <w:lang w:val="en-US"/>
        </w:rPr>
      </w:pPr>
    </w:p>
    <w:p w14:paraId="5CD1D694" w14:textId="73D9B284" w:rsidR="001B7CA2" w:rsidRPr="001B7CA2" w:rsidRDefault="001B7CA2" w:rsidP="001B7CA2">
      <w:pPr>
        <w:rPr>
          <w:lang w:val="en-GB"/>
        </w:rPr>
      </w:pPr>
      <w:r w:rsidRPr="001B7CA2">
        <w:rPr>
          <w:b/>
          <w:bCs/>
          <w:i/>
          <w:iCs/>
          <w:lang w:val="en-GB"/>
        </w:rPr>
        <w:t xml:space="preserve">C. Efficiency of the justice system </w:t>
      </w:r>
    </w:p>
    <w:p w14:paraId="60B62A00" w14:textId="055E5764" w:rsidR="001B7CA2" w:rsidRDefault="001B7CA2" w:rsidP="001B7CA2">
      <w:pPr>
        <w:rPr>
          <w:b/>
          <w:bCs/>
          <w:i/>
          <w:iCs/>
          <w:lang w:val="en-GB"/>
        </w:rPr>
      </w:pPr>
      <w:r w:rsidRPr="009D1508">
        <w:rPr>
          <w:b/>
          <w:bCs/>
          <w:i/>
          <w:iCs/>
          <w:lang w:val="en-GB"/>
        </w:rPr>
        <w:t xml:space="preserve">Other – please specify </w:t>
      </w:r>
    </w:p>
    <w:p w14:paraId="0F4B5838" w14:textId="3BEA42B0" w:rsidR="001F3870" w:rsidRPr="001F3870" w:rsidRDefault="001F3870" w:rsidP="001F3870">
      <w:pPr>
        <w:jc w:val="both"/>
        <w:rPr>
          <w:b/>
          <w:bCs/>
          <w:iCs/>
          <w:lang w:val="en-US"/>
        </w:rPr>
      </w:pPr>
      <w:r>
        <w:rPr>
          <w:b/>
          <w:bCs/>
          <w:iCs/>
          <w:lang w:val="en-US"/>
        </w:rPr>
        <w:t xml:space="preserve">Trafficking - </w:t>
      </w:r>
      <w:r w:rsidRPr="001F3870">
        <w:rPr>
          <w:bCs/>
          <w:iCs/>
          <w:lang w:val="en-GB"/>
        </w:rPr>
        <w:t>In its 2021 concluding observations, the UN Committee on the Elimination of Discrimination against Women</w:t>
      </w:r>
      <w:r w:rsidRPr="001F3870">
        <w:rPr>
          <w:bCs/>
          <w:iCs/>
          <w:lang w:val="en-US"/>
        </w:rPr>
        <w:t xml:space="preserve"> </w:t>
      </w:r>
      <w:r>
        <w:rPr>
          <w:bCs/>
          <w:iCs/>
          <w:lang w:val="en-US"/>
        </w:rPr>
        <w:t xml:space="preserve">was </w:t>
      </w:r>
      <w:r w:rsidRPr="001F3870">
        <w:rPr>
          <w:bCs/>
          <w:iCs/>
          <w:lang w:val="en-US"/>
        </w:rPr>
        <w:t>concerned about</w:t>
      </w:r>
      <w:r>
        <w:rPr>
          <w:bCs/>
          <w:iCs/>
          <w:lang w:val="en-US"/>
        </w:rPr>
        <w:t xml:space="preserve"> t</w:t>
      </w:r>
      <w:r w:rsidRPr="001F3870">
        <w:rPr>
          <w:bCs/>
          <w:iCs/>
          <w:lang w:val="en-US"/>
        </w:rPr>
        <w:t>he low number of investigations and prosecutions of reported cases of trafficking, which may result partially from the fact that women who are victims of trafficking risk deportation if they are undocumented or in an irregular situation, discouraging them from reporting and seeking victim assistance services</w:t>
      </w:r>
      <w:r>
        <w:rPr>
          <w:bCs/>
          <w:iCs/>
          <w:lang w:val="en-US"/>
        </w:rPr>
        <w:t>. The Committee urged Sweden to c</w:t>
      </w:r>
      <w:r w:rsidRPr="001F3870">
        <w:rPr>
          <w:bCs/>
          <w:iCs/>
          <w:lang w:val="en-US"/>
        </w:rPr>
        <w:t>ontinue strengthening its efforts to combat trafficking, and prioritize the prevention of trafficking and retrafficking, protection of victims and prosecution of perpetrators by, inter alia, granting temporary resident permits to victims of trafficking irrespective of their willingness or ability to cooperate with the prosecution authorities and ensuring that immigration and deportation laws and policies do not deter migrants, refugees and asylum seekers from reporting crimes of trafficking or undermine efforts to prevent human trafficking, to identify or protect victi</w:t>
      </w:r>
      <w:r>
        <w:rPr>
          <w:bCs/>
          <w:iCs/>
          <w:lang w:val="en-US"/>
        </w:rPr>
        <w:t>ms or to prosecute perpetrators (</w:t>
      </w:r>
      <w:hyperlink r:id="rId12" w:history="1">
        <w:r w:rsidR="00775C3A" w:rsidRPr="00775C3A">
          <w:rPr>
            <w:rStyle w:val="Hyperlink"/>
            <w:bCs/>
            <w:iCs/>
            <w:lang w:val="en-AU"/>
          </w:rPr>
          <w:t>CEDAW/C/SWE/CO/10</w:t>
        </w:r>
      </w:hyperlink>
      <w:r w:rsidR="00C64882">
        <w:rPr>
          <w:bCs/>
          <w:iCs/>
          <w:lang w:val="en-US"/>
        </w:rPr>
        <w:t>,</w:t>
      </w:r>
      <w:r w:rsidR="00775C3A" w:rsidRPr="00775C3A">
        <w:rPr>
          <w:bCs/>
          <w:iCs/>
          <w:lang w:val="en-AU"/>
        </w:rPr>
        <w:t xml:space="preserve"> p</w:t>
      </w:r>
      <w:r w:rsidR="00775C3A" w:rsidRPr="00775C3A">
        <w:rPr>
          <w:bCs/>
          <w:iCs/>
          <w:lang w:val="en-GB"/>
        </w:rPr>
        <w:t>aras.</w:t>
      </w:r>
      <w:r w:rsidR="00775C3A">
        <w:rPr>
          <w:bCs/>
          <w:iCs/>
          <w:lang w:val="en-GB"/>
        </w:rPr>
        <w:t xml:space="preserve"> 25 (d) and 26 (d)</w:t>
      </w:r>
      <w:r w:rsidR="00775C3A" w:rsidRPr="00775C3A">
        <w:rPr>
          <w:bCs/>
          <w:iCs/>
          <w:lang w:val="en-GB"/>
        </w:rPr>
        <w:t>).</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10C53D90" w14:textId="564EB9B2" w:rsidR="008B50CB" w:rsidRDefault="001B7CA2" w:rsidP="00FF5A3B">
      <w:pPr>
        <w:rPr>
          <w:i/>
          <w:iCs/>
          <w:lang w:val="en-GB"/>
        </w:rPr>
      </w:pPr>
      <w:r w:rsidRPr="001B7CA2">
        <w:rPr>
          <w:i/>
          <w:iCs/>
          <w:lang w:val="en-GB"/>
        </w:rPr>
        <w:t>3</w:t>
      </w:r>
      <w:r w:rsidR="00DC49B7">
        <w:rPr>
          <w:i/>
          <w:iCs/>
          <w:lang w:val="en-GB"/>
        </w:rPr>
        <w:t>9</w:t>
      </w:r>
      <w:r w:rsidRPr="001B7CA2">
        <w:rPr>
          <w:i/>
          <w:iCs/>
          <w:lang w:val="en-GB"/>
        </w:rPr>
        <w:t xml:space="preserve">. Framework, policy and use of impact assessments, stakeholders'/public consultations (particularly consultation of judiciary on judicial reforms), and transparency and quality of the legislative process </w:t>
      </w:r>
    </w:p>
    <w:p w14:paraId="2536B702" w14:textId="57FBD48C" w:rsidR="00775C3A" w:rsidRPr="00775C3A" w:rsidRDefault="00775C3A" w:rsidP="00775C3A">
      <w:pPr>
        <w:jc w:val="both"/>
        <w:rPr>
          <w:iCs/>
          <w:lang w:val="en-US"/>
        </w:rPr>
      </w:pPr>
      <w:r w:rsidRPr="00775C3A">
        <w:rPr>
          <w:bCs/>
          <w:iCs/>
          <w:lang w:val="en-GB"/>
        </w:rPr>
        <w:t xml:space="preserve">In its 2021 concluding observations, the UN Committee on the Elimination of Discrimination </w:t>
      </w:r>
      <w:r w:rsidRPr="00775C3A">
        <w:rPr>
          <w:bCs/>
          <w:iCs/>
          <w:lang w:val="en-GB"/>
        </w:rPr>
        <w:br/>
        <w:t>against Women</w:t>
      </w:r>
      <w:r w:rsidRPr="00775C3A">
        <w:rPr>
          <w:iCs/>
          <w:lang w:val="en-US"/>
        </w:rPr>
        <w:t xml:space="preserve"> </w:t>
      </w:r>
      <w:r>
        <w:rPr>
          <w:iCs/>
          <w:lang w:val="en-US"/>
        </w:rPr>
        <w:t>noted with concern t</w:t>
      </w:r>
      <w:r w:rsidRPr="00775C3A">
        <w:rPr>
          <w:iCs/>
          <w:lang w:val="en-US"/>
        </w:rPr>
        <w:t>he limited implementation of the principle of free, prior and informed consent and the lack of consultations and benefit-sharing with Sami women and girls in relation to development projects affecting their coll</w:t>
      </w:r>
      <w:r>
        <w:rPr>
          <w:iCs/>
          <w:lang w:val="en-US"/>
        </w:rPr>
        <w:t>ective rights to land ownership and urged to a</w:t>
      </w:r>
      <w:r w:rsidRPr="00775C3A">
        <w:rPr>
          <w:iCs/>
          <w:lang w:val="en-US"/>
        </w:rPr>
        <w:t>dopt legislation requiring the free, prior and informed consent of and consultations and benefit-sharing with indigenous women and girls in relation to development projects affecting their traditional lands, in accordan</w:t>
      </w:r>
      <w:r>
        <w:rPr>
          <w:iCs/>
          <w:lang w:val="en-US"/>
        </w:rPr>
        <w:t>ce with international standards</w:t>
      </w:r>
      <w:r w:rsidR="00C64882">
        <w:rPr>
          <w:iCs/>
          <w:lang w:val="en-US"/>
        </w:rPr>
        <w:t>,</w:t>
      </w:r>
      <w:r w:rsidRPr="00775C3A">
        <w:rPr>
          <w:bCs/>
          <w:iCs/>
          <w:lang w:val="en-AU"/>
        </w:rPr>
        <w:t xml:space="preserve"> </w:t>
      </w:r>
      <w:r w:rsidR="00BA6B57">
        <w:rPr>
          <w:bCs/>
          <w:iCs/>
          <w:lang w:val="en-AU"/>
        </w:rPr>
        <w:t>(</w:t>
      </w:r>
      <w:hyperlink r:id="rId13" w:history="1">
        <w:r w:rsidR="00BA6B57" w:rsidRPr="00BA6B57">
          <w:rPr>
            <w:rStyle w:val="Hyperlink"/>
            <w:bCs/>
            <w:iCs/>
            <w:lang w:val="en-AU"/>
          </w:rPr>
          <w:t>CEDAW/C/SWE/CO/10</w:t>
        </w:r>
      </w:hyperlink>
      <w:r w:rsidR="00BA6B57">
        <w:rPr>
          <w:bCs/>
          <w:iCs/>
          <w:lang w:val="en-AU"/>
        </w:rPr>
        <w:t xml:space="preserve">, </w:t>
      </w:r>
      <w:r w:rsidRPr="00775C3A">
        <w:rPr>
          <w:bCs/>
          <w:iCs/>
          <w:lang w:val="en-AU"/>
        </w:rPr>
        <w:t>p</w:t>
      </w:r>
      <w:r w:rsidRPr="00775C3A">
        <w:rPr>
          <w:bCs/>
          <w:iCs/>
          <w:lang w:val="en-GB"/>
        </w:rPr>
        <w:t>aras.</w:t>
      </w:r>
      <w:r>
        <w:rPr>
          <w:bCs/>
          <w:iCs/>
          <w:lang w:val="en-GB"/>
        </w:rPr>
        <w:t xml:space="preserve"> 43 (b) and 44 (b</w:t>
      </w:r>
      <w:r w:rsidRPr="00775C3A">
        <w:rPr>
          <w:bCs/>
          <w:iCs/>
          <w:lang w:val="en-GB"/>
        </w:rPr>
        <w:t>)).</w:t>
      </w:r>
      <w:r w:rsidRPr="00775C3A">
        <w:rPr>
          <w:iCs/>
          <w:lang w:val="en-US"/>
        </w:rPr>
        <w:t xml:space="preserve">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6F6ECAF1"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5DFACE6A" w14:textId="2B23B3B4" w:rsidR="00450E6D" w:rsidRDefault="00A40211" w:rsidP="008B03FD">
      <w:pPr>
        <w:pStyle w:val="SingleTxtG"/>
        <w:ind w:left="0" w:right="0"/>
        <w:rPr>
          <w:rFonts w:asciiTheme="minorHAnsi" w:hAnsiTheme="minorHAnsi" w:cstheme="minorHAnsi"/>
          <w:sz w:val="22"/>
          <w:szCs w:val="22"/>
          <w:lang w:val="en-US"/>
        </w:rPr>
      </w:pPr>
      <w:r w:rsidRPr="005B7D2E">
        <w:rPr>
          <w:rFonts w:asciiTheme="minorHAnsi" w:hAnsiTheme="minorHAnsi" w:cstheme="minorHAnsi"/>
          <w:sz w:val="22"/>
          <w:szCs w:val="22"/>
          <w:lang w:val="en-US"/>
        </w:rPr>
        <w:t xml:space="preserve">In its 2021 concluding observations, the </w:t>
      </w:r>
      <w:r w:rsidR="00A21F09">
        <w:rPr>
          <w:rFonts w:asciiTheme="minorHAnsi" w:hAnsiTheme="minorHAnsi" w:cstheme="minorHAnsi"/>
          <w:sz w:val="22"/>
          <w:szCs w:val="22"/>
          <w:lang w:val="en-US"/>
        </w:rPr>
        <w:t xml:space="preserve">UN </w:t>
      </w:r>
      <w:r w:rsidRPr="005B7D2E">
        <w:rPr>
          <w:rFonts w:asciiTheme="minorHAnsi" w:hAnsiTheme="minorHAnsi" w:cstheme="minorHAnsi"/>
          <w:sz w:val="22"/>
          <w:szCs w:val="22"/>
          <w:lang w:val="en-US"/>
        </w:rPr>
        <w:t xml:space="preserve">Committee on the Elimination of Discrimination </w:t>
      </w:r>
      <w:r w:rsidRPr="005B7D2E">
        <w:rPr>
          <w:rFonts w:asciiTheme="minorHAnsi" w:hAnsiTheme="minorHAnsi" w:cstheme="minorHAnsi"/>
          <w:sz w:val="22"/>
          <w:szCs w:val="22"/>
          <w:lang w:val="en-US"/>
        </w:rPr>
        <w:br/>
        <w:t xml:space="preserve">against Women welcomed the establishment of the Swedish Gender Equality Agency, commissioned to contribute to an effective implementation of the </w:t>
      </w:r>
      <w:r w:rsidR="005D3AD0">
        <w:rPr>
          <w:rFonts w:asciiTheme="minorHAnsi" w:hAnsiTheme="minorHAnsi" w:cstheme="minorHAnsi"/>
          <w:sz w:val="22"/>
          <w:szCs w:val="22"/>
          <w:lang w:val="en-US"/>
        </w:rPr>
        <w:t xml:space="preserve">Swedish Gender Equality policy. </w:t>
      </w:r>
      <w:r w:rsidR="0054542F" w:rsidRPr="005B7D2E">
        <w:rPr>
          <w:rFonts w:asciiTheme="minorHAnsi" w:hAnsiTheme="minorHAnsi" w:cstheme="minorHAnsi"/>
          <w:sz w:val="22"/>
          <w:szCs w:val="22"/>
          <w:lang w:val="en-US"/>
        </w:rPr>
        <w:t xml:space="preserve"> The Committee, however, noted</w:t>
      </w:r>
      <w:r w:rsidRPr="005B7D2E">
        <w:rPr>
          <w:rFonts w:asciiTheme="minorHAnsi" w:hAnsiTheme="minorHAnsi" w:cstheme="minorHAnsi"/>
          <w:sz w:val="22"/>
          <w:szCs w:val="22"/>
          <w:lang w:val="en-US"/>
        </w:rPr>
        <w:t xml:space="preserve"> with concern the insufficient human, technical and financial resources allocated to the Swedish Gender Equality Agency</w:t>
      </w:r>
      <w:r w:rsidR="0054542F" w:rsidRPr="005B7D2E">
        <w:rPr>
          <w:rFonts w:asciiTheme="minorHAnsi" w:hAnsiTheme="minorHAnsi" w:cstheme="minorHAnsi"/>
          <w:sz w:val="22"/>
          <w:szCs w:val="22"/>
          <w:lang w:val="en-US"/>
        </w:rPr>
        <w:t xml:space="preserve">. The Committee recommended that </w:t>
      </w:r>
      <w:r w:rsidR="00827C2F">
        <w:rPr>
          <w:rFonts w:asciiTheme="minorHAnsi" w:hAnsiTheme="minorHAnsi" w:cstheme="minorHAnsi"/>
          <w:sz w:val="22"/>
          <w:szCs w:val="22"/>
          <w:lang w:val="en-US"/>
        </w:rPr>
        <w:t xml:space="preserve">Sweden </w:t>
      </w:r>
      <w:r w:rsidR="0054542F" w:rsidRPr="005B7D2E">
        <w:rPr>
          <w:rFonts w:asciiTheme="minorHAnsi" w:hAnsiTheme="minorHAnsi" w:cstheme="minorHAnsi"/>
          <w:sz w:val="22"/>
          <w:szCs w:val="22"/>
          <w:lang w:val="en-US"/>
        </w:rPr>
        <w:t>strengthen the monitoring role of the Swedish Gender Equality Agency, including in the collection of data and conducting of qualitative research, and provide it with sufficient human, technical and financial resources to effectively carry out its mandate to pro</w:t>
      </w:r>
      <w:r w:rsidR="009870F0">
        <w:rPr>
          <w:rFonts w:asciiTheme="minorHAnsi" w:hAnsiTheme="minorHAnsi" w:cstheme="minorHAnsi"/>
          <w:sz w:val="22"/>
          <w:szCs w:val="22"/>
          <w:lang w:val="en-US"/>
        </w:rPr>
        <w:t xml:space="preserve">mote and protect women’s rights. </w:t>
      </w:r>
      <w:r w:rsidR="001C2305" w:rsidRPr="008B03FD">
        <w:rPr>
          <w:rFonts w:asciiTheme="minorHAnsi" w:hAnsiTheme="minorHAnsi" w:cstheme="minorHAnsi"/>
          <w:bCs/>
          <w:sz w:val="22"/>
          <w:szCs w:val="22"/>
          <w:lang w:val="en-AU"/>
        </w:rPr>
        <w:t>(</w:t>
      </w:r>
      <w:hyperlink r:id="rId14" w:history="1">
        <w:r w:rsidR="00362586" w:rsidRPr="008B03FD">
          <w:rPr>
            <w:rStyle w:val="Hyperlink"/>
            <w:rFonts w:asciiTheme="minorHAnsi" w:hAnsiTheme="minorHAnsi"/>
            <w:bCs/>
            <w:sz w:val="22"/>
            <w:szCs w:val="22"/>
            <w:lang w:val="en-AU"/>
          </w:rPr>
          <w:t>CEDAW/C/SWE/CO/10</w:t>
        </w:r>
      </w:hyperlink>
      <w:r w:rsidR="00362586" w:rsidRPr="008B03FD">
        <w:rPr>
          <w:rFonts w:asciiTheme="minorHAnsi" w:hAnsiTheme="minorHAnsi"/>
          <w:bCs/>
          <w:sz w:val="22"/>
          <w:szCs w:val="22"/>
          <w:lang w:val="en-AU"/>
        </w:rPr>
        <w:t xml:space="preserve">, </w:t>
      </w:r>
      <w:r w:rsidR="009870F0">
        <w:rPr>
          <w:rFonts w:asciiTheme="minorHAnsi" w:hAnsiTheme="minorHAnsi" w:cstheme="minorHAnsi"/>
          <w:sz w:val="22"/>
          <w:szCs w:val="22"/>
          <w:lang w:val="en-US"/>
        </w:rPr>
        <w:t>p</w:t>
      </w:r>
      <w:r w:rsidR="009870F0" w:rsidRPr="005B7D2E">
        <w:rPr>
          <w:rFonts w:asciiTheme="minorHAnsi" w:hAnsiTheme="minorHAnsi" w:cstheme="minorHAnsi"/>
          <w:sz w:val="22"/>
          <w:szCs w:val="22"/>
          <w:lang w:val="en-US"/>
        </w:rPr>
        <w:t>ara</w:t>
      </w:r>
      <w:r w:rsidR="009870F0">
        <w:rPr>
          <w:rFonts w:asciiTheme="minorHAnsi" w:hAnsiTheme="minorHAnsi" w:cstheme="minorHAnsi"/>
          <w:sz w:val="22"/>
          <w:szCs w:val="22"/>
          <w:lang w:val="en-US"/>
        </w:rPr>
        <w:t>s.</w:t>
      </w:r>
      <w:r w:rsidR="009870F0" w:rsidRPr="005B7D2E">
        <w:rPr>
          <w:rFonts w:asciiTheme="minorHAnsi" w:hAnsiTheme="minorHAnsi" w:cstheme="minorHAnsi"/>
          <w:sz w:val="22"/>
          <w:szCs w:val="22"/>
          <w:lang w:val="en-US"/>
        </w:rPr>
        <w:t xml:space="preserve"> 15</w:t>
      </w:r>
      <w:r w:rsidR="009870F0">
        <w:rPr>
          <w:rFonts w:asciiTheme="minorHAnsi" w:hAnsiTheme="minorHAnsi" w:cstheme="minorHAnsi"/>
          <w:sz w:val="22"/>
          <w:szCs w:val="22"/>
          <w:lang w:val="en-US"/>
        </w:rPr>
        <w:t>,</w:t>
      </w:r>
      <w:r w:rsidR="009870F0" w:rsidRPr="005B7D2E">
        <w:rPr>
          <w:rFonts w:asciiTheme="minorHAnsi" w:hAnsiTheme="minorHAnsi" w:cstheme="minorHAnsi"/>
          <w:sz w:val="22"/>
          <w:szCs w:val="22"/>
          <w:lang w:val="en-US"/>
        </w:rPr>
        <w:t xml:space="preserve"> 16</w:t>
      </w:r>
      <w:r w:rsidR="009870F0">
        <w:rPr>
          <w:rFonts w:asciiTheme="minorHAnsi" w:hAnsiTheme="minorHAnsi" w:cstheme="minorHAnsi"/>
          <w:sz w:val="22"/>
          <w:szCs w:val="22"/>
          <w:lang w:val="en-US"/>
        </w:rPr>
        <w:t>,</w:t>
      </w:r>
      <w:r w:rsidR="00505401" w:rsidRPr="008B03FD">
        <w:rPr>
          <w:rFonts w:asciiTheme="minorHAnsi" w:hAnsiTheme="minorHAnsi" w:cstheme="minorHAnsi"/>
          <w:sz w:val="22"/>
          <w:szCs w:val="22"/>
          <w:lang w:val="en-US"/>
        </w:rPr>
        <w:t xml:space="preserve"> 18). </w:t>
      </w:r>
    </w:p>
    <w:p w14:paraId="7341D18A" w14:textId="132922C5" w:rsidR="008B03FD" w:rsidRPr="009870F0" w:rsidRDefault="009870F0" w:rsidP="009870F0">
      <w:pPr>
        <w:pStyle w:val="CommentText"/>
        <w:jc w:val="both"/>
        <w:rPr>
          <w:sz w:val="22"/>
          <w:szCs w:val="22"/>
          <w:lang w:val="en-GB"/>
        </w:rPr>
      </w:pPr>
      <w:r w:rsidRPr="009870F0">
        <w:rPr>
          <w:bCs/>
          <w:iCs/>
          <w:sz w:val="22"/>
          <w:szCs w:val="22"/>
          <w:lang w:val="en-GB"/>
        </w:rPr>
        <w:t xml:space="preserve">In December 2021, </w:t>
      </w:r>
      <w:r w:rsidRPr="009870F0">
        <w:rPr>
          <w:bCs/>
          <w:iCs/>
          <w:sz w:val="22"/>
          <w:szCs w:val="22"/>
          <w:lang w:val="en-US"/>
        </w:rPr>
        <w:t>the Comm</w:t>
      </w:r>
      <w:r w:rsidR="000771F6">
        <w:rPr>
          <w:bCs/>
          <w:iCs/>
          <w:sz w:val="22"/>
          <w:szCs w:val="22"/>
          <w:lang w:val="en-US"/>
        </w:rPr>
        <w:t xml:space="preserve">ittee against Torture </w:t>
      </w:r>
      <w:r>
        <w:rPr>
          <w:bCs/>
          <w:iCs/>
          <w:sz w:val="22"/>
          <w:szCs w:val="22"/>
          <w:lang w:val="en-US"/>
        </w:rPr>
        <w:t xml:space="preserve">in its concluding observations </w:t>
      </w:r>
      <w:r>
        <w:rPr>
          <w:sz w:val="22"/>
          <w:szCs w:val="22"/>
          <w:lang w:val="en-GB"/>
        </w:rPr>
        <w:t>welcomed</w:t>
      </w:r>
      <w:r w:rsidR="008B03FD" w:rsidRPr="009870F0">
        <w:rPr>
          <w:sz w:val="22"/>
          <w:szCs w:val="22"/>
          <w:lang w:val="en-GB"/>
        </w:rPr>
        <w:t xml:space="preserve"> the creation of a national human rights institution with a broad mandate to monitor and report on how </w:t>
      </w:r>
      <w:r w:rsidR="008B03FD" w:rsidRPr="009870F0">
        <w:rPr>
          <w:sz w:val="22"/>
          <w:szCs w:val="22"/>
          <w:lang w:val="en-GB"/>
        </w:rPr>
        <w:lastRenderedPageBreak/>
        <w:t>human rights are respected and imp</w:t>
      </w:r>
      <w:r>
        <w:rPr>
          <w:sz w:val="22"/>
          <w:szCs w:val="22"/>
          <w:lang w:val="en-GB"/>
        </w:rPr>
        <w:t>lemented in Sweden. It noted</w:t>
      </w:r>
      <w:r w:rsidR="008B03FD" w:rsidRPr="009870F0">
        <w:rPr>
          <w:sz w:val="22"/>
          <w:szCs w:val="22"/>
          <w:lang w:val="en-GB"/>
        </w:rPr>
        <w:t xml:space="preserve"> that in October 2016, the Government had presented a strategy for national efforts on human rights to the par</w:t>
      </w:r>
      <w:r>
        <w:rPr>
          <w:sz w:val="22"/>
          <w:szCs w:val="22"/>
          <w:lang w:val="en-GB"/>
        </w:rPr>
        <w:t>liament of Sweden. It also noted</w:t>
      </w:r>
      <w:r w:rsidR="008B03FD" w:rsidRPr="009870F0">
        <w:rPr>
          <w:sz w:val="22"/>
          <w:szCs w:val="22"/>
          <w:lang w:val="en-GB"/>
        </w:rPr>
        <w:t xml:space="preserve"> that, in the strategy, the Government made the assessment that a national institution for human rights, in accordance with the principles relating to the status of national institutions for the promotion and protection of human rights (the Paris Principles), should be established in Sweden and that the parliament should be the body responsible for such an institut</w:t>
      </w:r>
      <w:r>
        <w:rPr>
          <w:sz w:val="22"/>
          <w:szCs w:val="22"/>
          <w:lang w:val="en-GB"/>
        </w:rPr>
        <w:t>ion. The Committee further noted</w:t>
      </w:r>
      <w:r w:rsidR="008B03FD" w:rsidRPr="009870F0">
        <w:rPr>
          <w:sz w:val="22"/>
          <w:szCs w:val="22"/>
          <w:lang w:val="en-GB"/>
        </w:rPr>
        <w:t xml:space="preserve"> that the parliament concluded that there were organizational and other reasons for not placing a Swedish institution for human rights under the parliament. The national human rights institution was therefore created under the Government through the law adopted in June 2021 and will begin operation in Janu</w:t>
      </w:r>
      <w:r>
        <w:rPr>
          <w:sz w:val="22"/>
          <w:szCs w:val="22"/>
          <w:lang w:val="en-GB"/>
        </w:rPr>
        <w:t>ary 2022. The Committee welcomed</w:t>
      </w:r>
      <w:r w:rsidR="008B03FD" w:rsidRPr="009870F0">
        <w:rPr>
          <w:sz w:val="22"/>
          <w:szCs w:val="22"/>
          <w:lang w:val="en-GB"/>
        </w:rPr>
        <w:t xml:space="preserve"> the clarifications that the national human rights institution has b</w:t>
      </w:r>
      <w:r w:rsidR="004D62EF">
        <w:rPr>
          <w:sz w:val="22"/>
          <w:szCs w:val="22"/>
          <w:lang w:val="en-GB"/>
        </w:rPr>
        <w:t>een created by law, that it would</w:t>
      </w:r>
      <w:r w:rsidR="008B03FD" w:rsidRPr="009870F0">
        <w:rPr>
          <w:sz w:val="22"/>
          <w:szCs w:val="22"/>
          <w:lang w:val="en-GB"/>
        </w:rPr>
        <w:t xml:space="preserve"> have an independently appointed board and that it will initially be allocated SKr 50 million in th</w:t>
      </w:r>
      <w:r>
        <w:rPr>
          <w:sz w:val="22"/>
          <w:szCs w:val="22"/>
          <w:lang w:val="en-GB"/>
        </w:rPr>
        <w:t xml:space="preserve">e government budget in 2022. The Committee recommended that Sweden </w:t>
      </w:r>
      <w:r w:rsidR="008B03FD" w:rsidRPr="009870F0">
        <w:rPr>
          <w:sz w:val="22"/>
          <w:szCs w:val="22"/>
          <w:lang w:val="en-GB"/>
        </w:rPr>
        <w:t xml:space="preserve">periodically review the relevant legislation governing the institution with a view to continuously strengthening the institution’s mandate and independence in order to ensure </w:t>
      </w:r>
      <w:r>
        <w:rPr>
          <w:sz w:val="22"/>
          <w:szCs w:val="22"/>
          <w:lang w:val="en-GB"/>
        </w:rPr>
        <w:t>that it can operate effectively (</w:t>
      </w:r>
      <w:hyperlink r:id="rId15" w:history="1">
        <w:r w:rsidRPr="009870F0">
          <w:rPr>
            <w:rStyle w:val="Hyperlink"/>
            <w:bCs/>
            <w:iCs/>
            <w:sz w:val="22"/>
            <w:szCs w:val="22"/>
            <w:lang w:val="en-US"/>
          </w:rPr>
          <w:t>CAT/C/SWE/CO/8</w:t>
        </w:r>
      </w:hyperlink>
      <w:r w:rsidR="00BA6B57">
        <w:rPr>
          <w:sz w:val="22"/>
          <w:szCs w:val="22"/>
          <w:lang w:val="en-GB"/>
        </w:rPr>
        <w:t xml:space="preserve">, paras. 6 - </w:t>
      </w:r>
      <w:r>
        <w:rPr>
          <w:sz w:val="22"/>
          <w:szCs w:val="22"/>
          <w:lang w:val="en-GB"/>
        </w:rPr>
        <w:t>7).</w:t>
      </w:r>
    </w:p>
    <w:p w14:paraId="344E2BAE" w14:textId="02D587BF" w:rsidR="008B03FD" w:rsidRPr="007417E3" w:rsidRDefault="009870F0" w:rsidP="008B03FD">
      <w:pPr>
        <w:pStyle w:val="SingleTxtG"/>
        <w:ind w:left="0" w:right="0"/>
        <w:rPr>
          <w:rFonts w:asciiTheme="minorHAnsi" w:hAnsiTheme="minorHAnsi" w:cstheme="minorHAnsi"/>
          <w:sz w:val="22"/>
          <w:szCs w:val="22"/>
        </w:rPr>
      </w:pPr>
      <w:r w:rsidRPr="009870F0">
        <w:rPr>
          <w:rFonts w:asciiTheme="minorHAnsi" w:hAnsiTheme="minorHAnsi"/>
          <w:sz w:val="22"/>
          <w:szCs w:val="22"/>
        </w:rPr>
        <w:t>While acknowledging that a specia</w:t>
      </w:r>
      <w:r>
        <w:rPr>
          <w:rFonts w:asciiTheme="minorHAnsi" w:hAnsiTheme="minorHAnsi"/>
          <w:sz w:val="22"/>
          <w:szCs w:val="22"/>
        </w:rPr>
        <w:t xml:space="preserve">l investigations department was </w:t>
      </w:r>
      <w:r w:rsidRPr="009870F0">
        <w:rPr>
          <w:rFonts w:asciiTheme="minorHAnsi" w:hAnsiTheme="minorHAnsi"/>
          <w:sz w:val="22"/>
          <w:szCs w:val="22"/>
        </w:rPr>
        <w:t xml:space="preserve">established in 2015 as an independent body within the Police Authority, with the mandate to independently conduct investigative work and gather information in cases of allegations of ill-treatment and excessive use of force by police officials, the Committee was concerned about the perceived lack of independence of the department. </w:t>
      </w:r>
      <w:r>
        <w:rPr>
          <w:rFonts w:asciiTheme="minorHAnsi" w:hAnsiTheme="minorHAnsi"/>
          <w:sz w:val="22"/>
          <w:szCs w:val="22"/>
        </w:rPr>
        <w:t>The Committee took</w:t>
      </w:r>
      <w:r w:rsidRPr="009870F0">
        <w:rPr>
          <w:rFonts w:asciiTheme="minorHAnsi" w:hAnsiTheme="minorHAnsi"/>
          <w:sz w:val="22"/>
          <w:szCs w:val="22"/>
        </w:rPr>
        <w:t xml:space="preserve"> note of the explanations offered by </w:t>
      </w:r>
      <w:r>
        <w:rPr>
          <w:rFonts w:asciiTheme="minorHAnsi" w:hAnsiTheme="minorHAnsi"/>
          <w:sz w:val="22"/>
          <w:szCs w:val="22"/>
        </w:rPr>
        <w:t xml:space="preserve">Sweden </w:t>
      </w:r>
      <w:r w:rsidRPr="009870F0">
        <w:rPr>
          <w:rFonts w:asciiTheme="minorHAnsi" w:hAnsiTheme="minorHAnsi"/>
          <w:sz w:val="22"/>
          <w:szCs w:val="22"/>
        </w:rPr>
        <w:t xml:space="preserve">regarding the safeguards in place to ensure the independence of the department, in particular that the department’s budget and caseload had increased annually since 2016 and that there </w:t>
      </w:r>
      <w:r w:rsidR="00BC7AA5">
        <w:rPr>
          <w:rFonts w:asciiTheme="minorHAnsi" w:hAnsiTheme="minorHAnsi"/>
          <w:sz w:val="22"/>
          <w:szCs w:val="22"/>
        </w:rPr>
        <w:t>we</w:t>
      </w:r>
      <w:r w:rsidRPr="009870F0">
        <w:rPr>
          <w:rFonts w:asciiTheme="minorHAnsi" w:hAnsiTheme="minorHAnsi"/>
          <w:sz w:val="22"/>
          <w:szCs w:val="22"/>
        </w:rPr>
        <w:t>re no plans to change the current structure of the department, which includes a staffing structure that is separate</w:t>
      </w:r>
      <w:r w:rsidR="00522885">
        <w:rPr>
          <w:rFonts w:asciiTheme="minorHAnsi" w:hAnsiTheme="minorHAnsi"/>
          <w:sz w:val="22"/>
          <w:szCs w:val="22"/>
        </w:rPr>
        <w:t xml:space="preserve"> from the Police Authority. </w:t>
      </w:r>
      <w:r w:rsidRPr="009870F0">
        <w:rPr>
          <w:rFonts w:asciiTheme="minorHAnsi" w:hAnsiTheme="minorHAnsi"/>
          <w:sz w:val="22"/>
          <w:szCs w:val="22"/>
        </w:rPr>
        <w:t>The Committ</w:t>
      </w:r>
      <w:r w:rsidR="00522885">
        <w:rPr>
          <w:rFonts w:asciiTheme="minorHAnsi" w:hAnsiTheme="minorHAnsi"/>
          <w:sz w:val="22"/>
          <w:szCs w:val="22"/>
        </w:rPr>
        <w:t>ee urged Sweden</w:t>
      </w:r>
      <w:r w:rsidRPr="009870F0">
        <w:rPr>
          <w:rFonts w:asciiTheme="minorHAnsi" w:hAnsiTheme="minorHAnsi"/>
          <w:sz w:val="22"/>
          <w:szCs w:val="22"/>
        </w:rPr>
        <w:t xml:space="preserve"> to continue to ensure prompt, impartial and effective investigation by the special investigations department into all allegations of ill-treatment and excessive use of force by law enforcement officials and to review possible changes that could be made to address any</w:t>
      </w:r>
      <w:r w:rsidR="00522885">
        <w:rPr>
          <w:rFonts w:asciiTheme="minorHAnsi" w:hAnsiTheme="minorHAnsi"/>
          <w:sz w:val="22"/>
          <w:szCs w:val="22"/>
        </w:rPr>
        <w:t xml:space="preserve"> perceived lack of independence </w:t>
      </w:r>
      <w:r w:rsidR="00522885" w:rsidRPr="00522885">
        <w:rPr>
          <w:rFonts w:asciiTheme="minorHAnsi" w:hAnsiTheme="minorHAnsi"/>
          <w:sz w:val="22"/>
          <w:szCs w:val="22"/>
          <w:lang w:val="en-US"/>
        </w:rPr>
        <w:t>(</w:t>
      </w:r>
      <w:hyperlink r:id="rId16" w:history="1">
        <w:r w:rsidR="00522885" w:rsidRPr="00522885">
          <w:rPr>
            <w:rStyle w:val="Hyperlink"/>
            <w:rFonts w:asciiTheme="minorHAnsi" w:hAnsiTheme="minorHAnsi"/>
            <w:bCs/>
            <w:iCs/>
            <w:sz w:val="22"/>
            <w:szCs w:val="22"/>
            <w:lang w:val="en-US"/>
          </w:rPr>
          <w:t>CAT/C/SWE/CO/8</w:t>
        </w:r>
      </w:hyperlink>
      <w:r w:rsidR="00522885" w:rsidRPr="00522885">
        <w:rPr>
          <w:rFonts w:asciiTheme="minorHAnsi" w:hAnsiTheme="minorHAnsi"/>
          <w:sz w:val="22"/>
          <w:szCs w:val="22"/>
          <w:lang w:val="en-US"/>
        </w:rPr>
        <w:t>, paras. 3</w:t>
      </w:r>
      <w:r w:rsidR="00522885">
        <w:rPr>
          <w:rFonts w:asciiTheme="minorHAnsi" w:hAnsiTheme="minorHAnsi"/>
          <w:sz w:val="22"/>
          <w:szCs w:val="22"/>
          <w:lang w:val="en-US"/>
        </w:rPr>
        <w:t>0 - 31</w:t>
      </w:r>
      <w:r w:rsidR="00522885" w:rsidRPr="00413419">
        <w:rPr>
          <w:rFonts w:asciiTheme="minorHAnsi" w:hAnsiTheme="minorHAnsi"/>
          <w:sz w:val="22"/>
          <w:szCs w:val="22"/>
          <w:lang w:val="en-US"/>
        </w:rPr>
        <w:t>).</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2A59A03D"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4B651379" w14:textId="1BC6048C" w:rsidR="00B40971" w:rsidRPr="00B40971" w:rsidRDefault="005A781C" w:rsidP="001C2305">
      <w:pPr>
        <w:jc w:val="both"/>
        <w:rPr>
          <w:i/>
          <w:iCs/>
          <w:lang w:val="en-US"/>
        </w:rPr>
      </w:pPr>
      <w:r>
        <w:rPr>
          <w:bCs/>
          <w:iCs/>
          <w:lang w:val="en-GB"/>
        </w:rPr>
        <w:t>In its 2021</w:t>
      </w:r>
      <w:r w:rsidRPr="0032554E">
        <w:rPr>
          <w:bCs/>
          <w:iCs/>
          <w:lang w:val="en-GB"/>
        </w:rPr>
        <w:t xml:space="preserve"> concluding observations,</w:t>
      </w:r>
      <w:r>
        <w:rPr>
          <w:bCs/>
          <w:iCs/>
          <w:lang w:val="en-GB"/>
        </w:rPr>
        <w:t xml:space="preserve"> the </w:t>
      </w:r>
      <w:r w:rsidR="00A21F09">
        <w:rPr>
          <w:bCs/>
          <w:iCs/>
          <w:lang w:val="en-GB"/>
        </w:rPr>
        <w:t xml:space="preserve">UN </w:t>
      </w:r>
      <w:r w:rsidRPr="006E4FC8">
        <w:rPr>
          <w:bCs/>
          <w:iCs/>
          <w:lang w:val="en-GB"/>
        </w:rPr>
        <w:t xml:space="preserve">Committee on the Elimination of Discrimination </w:t>
      </w:r>
      <w:r w:rsidRPr="006E4FC8">
        <w:rPr>
          <w:bCs/>
          <w:iCs/>
          <w:lang w:val="en-GB"/>
        </w:rPr>
        <w:br/>
        <w:t>against Women</w:t>
      </w:r>
      <w:r w:rsidRPr="00505401">
        <w:rPr>
          <w:lang w:val="en-US"/>
        </w:rPr>
        <w:t xml:space="preserve"> </w:t>
      </w:r>
      <w:r>
        <w:rPr>
          <w:lang w:val="en-US"/>
        </w:rPr>
        <w:t xml:space="preserve">recommended that Sweden </w:t>
      </w:r>
      <w:r w:rsidRPr="005A781C">
        <w:rPr>
          <w:lang w:val="en-US"/>
        </w:rPr>
        <w:t>i</w:t>
      </w:r>
      <w:r w:rsidR="00B40971" w:rsidRPr="005A781C">
        <w:rPr>
          <w:lang w:val="en-US"/>
        </w:rPr>
        <w:t xml:space="preserve">ncrease the number of accessible shelters and safe houses, in both urban and rural areas, and of counselling and rehabilitation services across </w:t>
      </w:r>
      <w:r w:rsidR="00C64882">
        <w:rPr>
          <w:lang w:val="en-US"/>
        </w:rPr>
        <w:t xml:space="preserve">Sweden </w:t>
      </w:r>
      <w:r w:rsidR="00B40971" w:rsidRPr="005A781C">
        <w:rPr>
          <w:lang w:val="en-US"/>
        </w:rPr>
        <w:t>and allocate adequate funding to civil society organizations that provide shelters and support services for victims of trafficking and exploitation of prostitution</w:t>
      </w:r>
      <w:r w:rsidR="007D0186">
        <w:rPr>
          <w:bCs/>
          <w:lang w:val="en-AU"/>
        </w:rPr>
        <w:t xml:space="preserve">, </w:t>
      </w:r>
      <w:hyperlink r:id="rId17" w:history="1">
        <w:r w:rsidR="00BA6B57" w:rsidRPr="00BA6B57">
          <w:rPr>
            <w:rStyle w:val="Hyperlink"/>
            <w:bCs/>
            <w:iCs/>
            <w:lang w:val="en-AU"/>
          </w:rPr>
          <w:t>CEDAW/C/SWE/CO/10</w:t>
        </w:r>
      </w:hyperlink>
      <w:r w:rsidR="00BA6B57">
        <w:rPr>
          <w:bCs/>
          <w:lang w:val="en-AU"/>
        </w:rPr>
        <w:t xml:space="preserve">, </w:t>
      </w:r>
      <w:r w:rsidR="00362586">
        <w:rPr>
          <w:lang w:val="en-US"/>
        </w:rPr>
        <w:t>para</w:t>
      </w:r>
      <w:r w:rsidR="000754C3">
        <w:rPr>
          <w:lang w:val="en-US"/>
        </w:rPr>
        <w:t>.</w:t>
      </w:r>
      <w:r w:rsidR="00362586">
        <w:rPr>
          <w:lang w:val="en-US"/>
        </w:rPr>
        <w:t xml:space="preserve"> 26</w:t>
      </w:r>
      <w:r w:rsidR="00B40971" w:rsidRPr="005A781C">
        <w:rPr>
          <w:lang w:val="en-US"/>
        </w:rPr>
        <w:t>)</w:t>
      </w:r>
      <w:r w:rsidRPr="005A781C">
        <w:rPr>
          <w:lang w:val="en-US"/>
        </w:rPr>
        <w:t>.</w:t>
      </w:r>
    </w:p>
    <w:p w14:paraId="203ECA1D" w14:textId="03564E46" w:rsidR="001B7CA2" w:rsidRPr="005D1155" w:rsidRDefault="001B7CA2" w:rsidP="001B7CA2">
      <w:pPr>
        <w:rPr>
          <w:lang w:val="en-US"/>
        </w:rPr>
      </w:pPr>
    </w:p>
    <w:sectPr w:rsidR="001B7CA2" w:rsidRPr="005D1155">
      <w:footerReference w:type="default" r:id="rId18"/>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7D42C" w16cex:dateUtc="2022-02-04T15:34:00Z"/>
  <w16cex:commentExtensible w16cex:durableId="25A7D469" w16cex:dateUtc="2022-02-04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5D9CF8" w16cid:durableId="25A7D42C"/>
  <w16cid:commentId w16cid:paraId="4A8B7E38" w16cid:durableId="25A7D4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E7786" w14:textId="77777777" w:rsidR="00043CE7" w:rsidRDefault="00043CE7" w:rsidP="00AB6BD8">
      <w:pPr>
        <w:spacing w:after="0" w:line="240" w:lineRule="auto"/>
      </w:pPr>
      <w:r>
        <w:separator/>
      </w:r>
    </w:p>
  </w:endnote>
  <w:endnote w:type="continuationSeparator" w:id="0">
    <w:p w14:paraId="7CCB540F" w14:textId="77777777" w:rsidR="00043CE7" w:rsidRDefault="00043CE7"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23135A06" w:rsidR="00ED7A10" w:rsidRDefault="00ED7A10">
        <w:pPr>
          <w:pStyle w:val="Footer"/>
          <w:jc w:val="center"/>
        </w:pPr>
        <w:r>
          <w:fldChar w:fldCharType="begin"/>
        </w:r>
        <w:r>
          <w:instrText>PAGE   \* MERGEFORMAT</w:instrText>
        </w:r>
        <w:r>
          <w:fldChar w:fldCharType="separate"/>
        </w:r>
        <w:r w:rsidR="00DC7351" w:rsidRPr="00DC7351">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AEA81" w14:textId="77777777" w:rsidR="00043CE7" w:rsidRDefault="00043CE7" w:rsidP="00AB6BD8">
      <w:pPr>
        <w:spacing w:after="0" w:line="240" w:lineRule="auto"/>
      </w:pPr>
      <w:r>
        <w:separator/>
      </w:r>
    </w:p>
  </w:footnote>
  <w:footnote w:type="continuationSeparator" w:id="0">
    <w:p w14:paraId="308672EF" w14:textId="77777777" w:rsidR="00043CE7" w:rsidRDefault="00043CE7" w:rsidP="00AB6BD8">
      <w:pPr>
        <w:spacing w:after="0" w:line="240" w:lineRule="auto"/>
      </w:pPr>
      <w:r>
        <w:continuationSeparator/>
      </w:r>
    </w:p>
  </w:footnote>
  <w:footnote w:id="1">
    <w:p w14:paraId="5C9D38D9" w14:textId="77777777" w:rsidR="00694C36" w:rsidRPr="00694C36" w:rsidRDefault="00694C36" w:rsidP="00694C36">
      <w:pPr>
        <w:pStyle w:val="FootnoteText"/>
        <w:rPr>
          <w:lang w:val="en-US"/>
        </w:rPr>
      </w:pPr>
      <w:r>
        <w:rPr>
          <w:rStyle w:val="FootnoteReference"/>
        </w:rPr>
        <w:footnoteRef/>
      </w:r>
      <w:r w:rsidRPr="00694C36">
        <w:rPr>
          <w:lang w:val="en-US"/>
        </w:rPr>
        <w:t xml:space="preserve"> </w:t>
      </w:r>
      <w:r w:rsidRPr="00694C36">
        <w:rPr>
          <w:sz w:val="18"/>
          <w:lang w:val="en-US"/>
        </w:rPr>
        <w:t>Material resources refer e.g. to court buildings and other</w:t>
      </w:r>
      <w:r w:rsidRPr="00694C36">
        <w:rPr>
          <w:spacing w:val="-8"/>
          <w:sz w:val="18"/>
          <w:lang w:val="en-US"/>
        </w:rPr>
        <w:t xml:space="preserve"> </w:t>
      </w:r>
      <w:r w:rsidRPr="00694C36">
        <w:rPr>
          <w:sz w:val="18"/>
          <w:lang w:val="en-US"/>
        </w:rPr>
        <w:t>facilities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57B807BB"/>
    <w:multiLevelType w:val="hybridMultilevel"/>
    <w:tmpl w:val="8166C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5C6F16"/>
    <w:multiLevelType w:val="hybridMultilevel"/>
    <w:tmpl w:val="58A072F8"/>
    <w:lvl w:ilvl="0" w:tplc="48CC2394">
      <w:start w:val="2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1"/>
  </w:num>
  <w:num w:numId="5">
    <w:abstractNumId w:val="3"/>
  </w:num>
  <w:num w:numId="6">
    <w:abstractNumId w:val="5"/>
  </w:num>
  <w:num w:numId="7">
    <w:abstractNumId w:val="10"/>
  </w:num>
  <w:num w:numId="8">
    <w:abstractNumId w:val="9"/>
  </w:num>
  <w:num w:numId="9">
    <w:abstractNumId w:val="12"/>
  </w:num>
  <w:num w:numId="10">
    <w:abstractNumId w:val="4"/>
  </w:num>
  <w:num w:numId="11">
    <w:abstractNumId w:val="0"/>
  </w:num>
  <w:num w:numId="12">
    <w:abstractNumId w:val="8"/>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s-ES_tradnl" w:vendorID="64" w:dllVersion="6" w:nlCheck="1" w:checkStyle="0"/>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fr-BE"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43CE7"/>
    <w:rsid w:val="00050D7E"/>
    <w:rsid w:val="000555C4"/>
    <w:rsid w:val="000754C3"/>
    <w:rsid w:val="000771F6"/>
    <w:rsid w:val="00082BB4"/>
    <w:rsid w:val="00091C62"/>
    <w:rsid w:val="00094650"/>
    <w:rsid w:val="000B034D"/>
    <w:rsid w:val="000D06BF"/>
    <w:rsid w:val="000E3E0A"/>
    <w:rsid w:val="000E4ACA"/>
    <w:rsid w:val="000E4D1E"/>
    <w:rsid w:val="000E58CC"/>
    <w:rsid w:val="000F7447"/>
    <w:rsid w:val="000F74F4"/>
    <w:rsid w:val="00102288"/>
    <w:rsid w:val="00102797"/>
    <w:rsid w:val="00125B2C"/>
    <w:rsid w:val="00137F92"/>
    <w:rsid w:val="00144770"/>
    <w:rsid w:val="00147BF9"/>
    <w:rsid w:val="0015004A"/>
    <w:rsid w:val="00152098"/>
    <w:rsid w:val="00165AFF"/>
    <w:rsid w:val="00173CF4"/>
    <w:rsid w:val="001844C0"/>
    <w:rsid w:val="001868E0"/>
    <w:rsid w:val="00195595"/>
    <w:rsid w:val="001A17C6"/>
    <w:rsid w:val="001A362C"/>
    <w:rsid w:val="001B7CA2"/>
    <w:rsid w:val="001C2305"/>
    <w:rsid w:val="001C79A2"/>
    <w:rsid w:val="001C7CCF"/>
    <w:rsid w:val="001E08DC"/>
    <w:rsid w:val="001E0C79"/>
    <w:rsid w:val="001E2105"/>
    <w:rsid w:val="001F3870"/>
    <w:rsid w:val="001F7E45"/>
    <w:rsid w:val="002057FA"/>
    <w:rsid w:val="00206A47"/>
    <w:rsid w:val="002171B7"/>
    <w:rsid w:val="00221C79"/>
    <w:rsid w:val="00231F28"/>
    <w:rsid w:val="00235A91"/>
    <w:rsid w:val="00240D75"/>
    <w:rsid w:val="002430D2"/>
    <w:rsid w:val="0024664D"/>
    <w:rsid w:val="00251082"/>
    <w:rsid w:val="00252C8E"/>
    <w:rsid w:val="002668EA"/>
    <w:rsid w:val="00275AE3"/>
    <w:rsid w:val="00293C29"/>
    <w:rsid w:val="00294805"/>
    <w:rsid w:val="002953FF"/>
    <w:rsid w:val="002969C5"/>
    <w:rsid w:val="002B0F0C"/>
    <w:rsid w:val="002C15AB"/>
    <w:rsid w:val="002C4AD7"/>
    <w:rsid w:val="002D45D1"/>
    <w:rsid w:val="0030165D"/>
    <w:rsid w:val="00317507"/>
    <w:rsid w:val="00334386"/>
    <w:rsid w:val="003619BB"/>
    <w:rsid w:val="00362586"/>
    <w:rsid w:val="00364DD8"/>
    <w:rsid w:val="003768D1"/>
    <w:rsid w:val="00383787"/>
    <w:rsid w:val="003843E1"/>
    <w:rsid w:val="0038485A"/>
    <w:rsid w:val="003A0D9D"/>
    <w:rsid w:val="003B4F07"/>
    <w:rsid w:val="003D7999"/>
    <w:rsid w:val="003F19B1"/>
    <w:rsid w:val="00405880"/>
    <w:rsid w:val="00413419"/>
    <w:rsid w:val="0043718B"/>
    <w:rsid w:val="00445679"/>
    <w:rsid w:val="00447DF5"/>
    <w:rsid w:val="00450E6D"/>
    <w:rsid w:val="00451BE5"/>
    <w:rsid w:val="00451C0D"/>
    <w:rsid w:val="00456DB5"/>
    <w:rsid w:val="00462100"/>
    <w:rsid w:val="004809CC"/>
    <w:rsid w:val="00486504"/>
    <w:rsid w:val="00491A44"/>
    <w:rsid w:val="004A0573"/>
    <w:rsid w:val="004A4D25"/>
    <w:rsid w:val="004B60DD"/>
    <w:rsid w:val="004C0B1F"/>
    <w:rsid w:val="004D62EF"/>
    <w:rsid w:val="004E2A0C"/>
    <w:rsid w:val="004E5D2F"/>
    <w:rsid w:val="004E7A76"/>
    <w:rsid w:val="00505401"/>
    <w:rsid w:val="005078D2"/>
    <w:rsid w:val="00522885"/>
    <w:rsid w:val="005323A5"/>
    <w:rsid w:val="00537606"/>
    <w:rsid w:val="0054542F"/>
    <w:rsid w:val="005562F6"/>
    <w:rsid w:val="00561741"/>
    <w:rsid w:val="00572CAC"/>
    <w:rsid w:val="00572D29"/>
    <w:rsid w:val="00576122"/>
    <w:rsid w:val="00592F7B"/>
    <w:rsid w:val="005936DA"/>
    <w:rsid w:val="00595A34"/>
    <w:rsid w:val="005A53B1"/>
    <w:rsid w:val="005A781C"/>
    <w:rsid w:val="005B7D2E"/>
    <w:rsid w:val="005C4199"/>
    <w:rsid w:val="005D1155"/>
    <w:rsid w:val="005D3AD0"/>
    <w:rsid w:val="00600F16"/>
    <w:rsid w:val="0061181D"/>
    <w:rsid w:val="006210A9"/>
    <w:rsid w:val="00621476"/>
    <w:rsid w:val="00623139"/>
    <w:rsid w:val="0062626E"/>
    <w:rsid w:val="00633DEB"/>
    <w:rsid w:val="0064596A"/>
    <w:rsid w:val="00656276"/>
    <w:rsid w:val="0066480F"/>
    <w:rsid w:val="00691FCD"/>
    <w:rsid w:val="00694C36"/>
    <w:rsid w:val="006B2848"/>
    <w:rsid w:val="006B2EEF"/>
    <w:rsid w:val="006C4984"/>
    <w:rsid w:val="006E4FC8"/>
    <w:rsid w:val="006F10BF"/>
    <w:rsid w:val="006F2AEF"/>
    <w:rsid w:val="006F4CC3"/>
    <w:rsid w:val="00706468"/>
    <w:rsid w:val="00706F1D"/>
    <w:rsid w:val="00714D95"/>
    <w:rsid w:val="00726393"/>
    <w:rsid w:val="0074007C"/>
    <w:rsid w:val="007417E3"/>
    <w:rsid w:val="00745D4D"/>
    <w:rsid w:val="00745F2E"/>
    <w:rsid w:val="007467E2"/>
    <w:rsid w:val="00752BCB"/>
    <w:rsid w:val="00753FA0"/>
    <w:rsid w:val="00775C3A"/>
    <w:rsid w:val="0079724B"/>
    <w:rsid w:val="007D0186"/>
    <w:rsid w:val="007D7490"/>
    <w:rsid w:val="007F1F30"/>
    <w:rsid w:val="007F4BCB"/>
    <w:rsid w:val="007F529E"/>
    <w:rsid w:val="0080379C"/>
    <w:rsid w:val="00812CA6"/>
    <w:rsid w:val="00815599"/>
    <w:rsid w:val="00820269"/>
    <w:rsid w:val="00824724"/>
    <w:rsid w:val="00827C2F"/>
    <w:rsid w:val="0083739F"/>
    <w:rsid w:val="008526FE"/>
    <w:rsid w:val="008628EF"/>
    <w:rsid w:val="00864814"/>
    <w:rsid w:val="00867498"/>
    <w:rsid w:val="00867CBB"/>
    <w:rsid w:val="00873B37"/>
    <w:rsid w:val="0088139C"/>
    <w:rsid w:val="008A1B74"/>
    <w:rsid w:val="008A7229"/>
    <w:rsid w:val="008B03FD"/>
    <w:rsid w:val="008B50CB"/>
    <w:rsid w:val="008B5DE9"/>
    <w:rsid w:val="008B6874"/>
    <w:rsid w:val="008C4411"/>
    <w:rsid w:val="008C7A94"/>
    <w:rsid w:val="008D29C2"/>
    <w:rsid w:val="008D7F8C"/>
    <w:rsid w:val="008E4FD7"/>
    <w:rsid w:val="008E537C"/>
    <w:rsid w:val="008F5F0F"/>
    <w:rsid w:val="008F689A"/>
    <w:rsid w:val="00916B8E"/>
    <w:rsid w:val="00923EBE"/>
    <w:rsid w:val="009441AD"/>
    <w:rsid w:val="00944BB4"/>
    <w:rsid w:val="00951DEB"/>
    <w:rsid w:val="00962913"/>
    <w:rsid w:val="00966DC9"/>
    <w:rsid w:val="0096772C"/>
    <w:rsid w:val="009870F0"/>
    <w:rsid w:val="00991323"/>
    <w:rsid w:val="00997215"/>
    <w:rsid w:val="009A7131"/>
    <w:rsid w:val="009C040C"/>
    <w:rsid w:val="009C0B68"/>
    <w:rsid w:val="009C6B9F"/>
    <w:rsid w:val="009D1508"/>
    <w:rsid w:val="009E48E9"/>
    <w:rsid w:val="009F46F0"/>
    <w:rsid w:val="00A04D5E"/>
    <w:rsid w:val="00A1060B"/>
    <w:rsid w:val="00A118BB"/>
    <w:rsid w:val="00A2011E"/>
    <w:rsid w:val="00A21F09"/>
    <w:rsid w:val="00A33884"/>
    <w:rsid w:val="00A40211"/>
    <w:rsid w:val="00A8576F"/>
    <w:rsid w:val="00A95DE7"/>
    <w:rsid w:val="00AA28FE"/>
    <w:rsid w:val="00AB39DD"/>
    <w:rsid w:val="00AB4073"/>
    <w:rsid w:val="00AB6BD8"/>
    <w:rsid w:val="00AD14BD"/>
    <w:rsid w:val="00AD37EC"/>
    <w:rsid w:val="00AD5BC2"/>
    <w:rsid w:val="00AE13F5"/>
    <w:rsid w:val="00AF33F6"/>
    <w:rsid w:val="00AF4734"/>
    <w:rsid w:val="00AF6778"/>
    <w:rsid w:val="00B06121"/>
    <w:rsid w:val="00B06A99"/>
    <w:rsid w:val="00B1077E"/>
    <w:rsid w:val="00B3376B"/>
    <w:rsid w:val="00B40971"/>
    <w:rsid w:val="00B44395"/>
    <w:rsid w:val="00B4482C"/>
    <w:rsid w:val="00B54E3F"/>
    <w:rsid w:val="00B669A0"/>
    <w:rsid w:val="00B837B5"/>
    <w:rsid w:val="00B8626C"/>
    <w:rsid w:val="00B92E78"/>
    <w:rsid w:val="00B94426"/>
    <w:rsid w:val="00BA6B57"/>
    <w:rsid w:val="00BB67D7"/>
    <w:rsid w:val="00BC187D"/>
    <w:rsid w:val="00BC1D9A"/>
    <w:rsid w:val="00BC7AA5"/>
    <w:rsid w:val="00BF06FE"/>
    <w:rsid w:val="00BF199A"/>
    <w:rsid w:val="00C15DCD"/>
    <w:rsid w:val="00C206C5"/>
    <w:rsid w:val="00C21B69"/>
    <w:rsid w:val="00C2221F"/>
    <w:rsid w:val="00C25048"/>
    <w:rsid w:val="00C34944"/>
    <w:rsid w:val="00C357C2"/>
    <w:rsid w:val="00C46DCD"/>
    <w:rsid w:val="00C5007B"/>
    <w:rsid w:val="00C64882"/>
    <w:rsid w:val="00C91D1B"/>
    <w:rsid w:val="00CA0E6C"/>
    <w:rsid w:val="00CB73BB"/>
    <w:rsid w:val="00CC6B37"/>
    <w:rsid w:val="00CD1815"/>
    <w:rsid w:val="00CD7A88"/>
    <w:rsid w:val="00CE4C75"/>
    <w:rsid w:val="00CF698C"/>
    <w:rsid w:val="00D002BC"/>
    <w:rsid w:val="00D027D9"/>
    <w:rsid w:val="00D07239"/>
    <w:rsid w:val="00D17788"/>
    <w:rsid w:val="00D36B23"/>
    <w:rsid w:val="00D6657B"/>
    <w:rsid w:val="00D76481"/>
    <w:rsid w:val="00D776C3"/>
    <w:rsid w:val="00D848D8"/>
    <w:rsid w:val="00D87626"/>
    <w:rsid w:val="00DA2342"/>
    <w:rsid w:val="00DA2D83"/>
    <w:rsid w:val="00DC04CC"/>
    <w:rsid w:val="00DC13DD"/>
    <w:rsid w:val="00DC2228"/>
    <w:rsid w:val="00DC2934"/>
    <w:rsid w:val="00DC36E4"/>
    <w:rsid w:val="00DC49B7"/>
    <w:rsid w:val="00DC5B32"/>
    <w:rsid w:val="00DC7351"/>
    <w:rsid w:val="00DD1A75"/>
    <w:rsid w:val="00DD51BC"/>
    <w:rsid w:val="00DE20DF"/>
    <w:rsid w:val="00DE2240"/>
    <w:rsid w:val="00DF181A"/>
    <w:rsid w:val="00E14E2A"/>
    <w:rsid w:val="00E33076"/>
    <w:rsid w:val="00E70E81"/>
    <w:rsid w:val="00E7390A"/>
    <w:rsid w:val="00E7579B"/>
    <w:rsid w:val="00E75F98"/>
    <w:rsid w:val="00E820BD"/>
    <w:rsid w:val="00E85BC4"/>
    <w:rsid w:val="00E87A2E"/>
    <w:rsid w:val="00E92C99"/>
    <w:rsid w:val="00E943EC"/>
    <w:rsid w:val="00EA5201"/>
    <w:rsid w:val="00EB0581"/>
    <w:rsid w:val="00EC080A"/>
    <w:rsid w:val="00EC5235"/>
    <w:rsid w:val="00ED5335"/>
    <w:rsid w:val="00ED7A10"/>
    <w:rsid w:val="00EE1A51"/>
    <w:rsid w:val="00EE6A52"/>
    <w:rsid w:val="00EF2BDF"/>
    <w:rsid w:val="00EF36D6"/>
    <w:rsid w:val="00EF4DF8"/>
    <w:rsid w:val="00F13059"/>
    <w:rsid w:val="00F464F2"/>
    <w:rsid w:val="00F50ECD"/>
    <w:rsid w:val="00F7351E"/>
    <w:rsid w:val="00F767DF"/>
    <w:rsid w:val="00F7725E"/>
    <w:rsid w:val="00F97F51"/>
    <w:rsid w:val="00FA4659"/>
    <w:rsid w:val="00FD1D10"/>
    <w:rsid w:val="00FE1807"/>
    <w:rsid w:val="00FF0D39"/>
    <w:rsid w:val="00FF410C"/>
    <w:rsid w:val="00FF5A3B"/>
    <w:rsid w:val="00FF6D8D"/>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customStyle="1" w:styleId="SingleTxtG">
    <w:name w:val="_ Single Txt_G"/>
    <w:basedOn w:val="Normal"/>
    <w:link w:val="SingleTxtGChar"/>
    <w:qFormat/>
    <w:rsid w:val="003A0D9D"/>
    <w:pPr>
      <w:tabs>
        <w:tab w:val="left" w:pos="1701"/>
        <w:tab w:val="left" w:pos="2268"/>
        <w:tab w:val="left" w:pos="2835"/>
      </w:tabs>
      <w:suppressAutoHyphens/>
      <w:kinsoku w:val="0"/>
      <w:overflowPunct w:val="0"/>
      <w:autoSpaceDE w:val="0"/>
      <w:autoSpaceDN w:val="0"/>
      <w:adjustRightInd w:val="0"/>
      <w:snapToGrid w:val="0"/>
      <w:spacing w:after="120" w:line="240" w:lineRule="atLeast"/>
      <w:ind w:left="1134" w:right="1134"/>
      <w:jc w:val="both"/>
    </w:pPr>
    <w:rPr>
      <w:rFonts w:ascii="Times New Roman" w:hAnsi="Times New Roman" w:cs="Times New Roman"/>
      <w:sz w:val="20"/>
      <w:szCs w:val="20"/>
      <w:lang w:val="en-GB"/>
    </w:rPr>
  </w:style>
  <w:style w:type="character" w:customStyle="1" w:styleId="SingleTxtGChar">
    <w:name w:val="_ Single Txt_G Char"/>
    <w:link w:val="SingleTxtG"/>
    <w:locked/>
    <w:rsid w:val="003A0D9D"/>
    <w:rPr>
      <w:rFonts w:ascii="Times New Roman" w:hAnsi="Times New Roman" w:cs="Times New Roman"/>
      <w:sz w:val="20"/>
      <w:szCs w:val="20"/>
      <w:lang w:val="en-GB"/>
    </w:rPr>
  </w:style>
  <w:style w:type="paragraph" w:styleId="Revision">
    <w:name w:val="Revision"/>
    <w:hidden/>
    <w:uiPriority w:val="99"/>
    <w:semiHidden/>
    <w:rsid w:val="00050D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44070">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DAW/C/SWE/CO/10&amp;Lang=En" TargetMode="External"/><Relationship Id="rId13" Type="http://schemas.openxmlformats.org/officeDocument/2006/relationships/hyperlink" Target="https://tbinternet.ohchr.org/_layouts/15/treatybodyexternal/Download.aspx?symbolno=CEDAW/C/SWE/CO/10&amp;Lang=En"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EDAW/C/SWE/CO/10&amp;Lang=En" TargetMode="External"/><Relationship Id="rId17" Type="http://schemas.openxmlformats.org/officeDocument/2006/relationships/hyperlink" Target="https://tbinternet.ohchr.org/_layouts/15/treatybodyexternal/Download.aspx?symbolno=CEDAW/C/SWE/CO/10&amp;Lang=En" TargetMode="External"/><Relationship Id="rId2" Type="http://schemas.openxmlformats.org/officeDocument/2006/relationships/numbering" Target="numbering.xml"/><Relationship Id="rId16" Type="http://schemas.openxmlformats.org/officeDocument/2006/relationships/hyperlink" Target="https://documents-dds-ny.un.org/doc/UNDOC/GEN/G21/381/20/PDF/G2138120.pdf?OpenEl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uments-dds-ny.un.org/doc/UNDOC/GEN/G21/381/20/PDF/G2138120.pdf?OpenElement" TargetMode="External"/><Relationship Id="rId5" Type="http://schemas.openxmlformats.org/officeDocument/2006/relationships/webSettings" Target="webSettings.xml"/><Relationship Id="rId15" Type="http://schemas.openxmlformats.org/officeDocument/2006/relationships/hyperlink" Target="https://documents-dds-ny.un.org/doc/UNDOC/GEN/G21/381/20/PDF/G2138120.pdf?OpenElement" TargetMode="External"/><Relationship Id="rId10" Type="http://schemas.openxmlformats.org/officeDocument/2006/relationships/hyperlink" Target="https://tbinternet.ohchr.org/_layouts/15/treatybodyexternal/Download.aspx?symbolno=CEDAW/C/SWE/CO/10&amp;Lang=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ndocs.org/A/HRC/47/35" TargetMode="External"/><Relationship Id="rId14" Type="http://schemas.openxmlformats.org/officeDocument/2006/relationships/hyperlink" Target="https://tbinternet.ohchr.org/_layouts/15/treatybodyexternal/Download.aspx?symbolno=CEDAW/C/SWE/CO/10&amp;Lang=En"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8CF5B-F7A0-4B33-88D1-71466EFC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4</cp:revision>
  <dcterms:created xsi:type="dcterms:W3CDTF">2022-02-06T15:12:00Z</dcterms:created>
  <dcterms:modified xsi:type="dcterms:W3CDTF">2022-02-06T15:12:00Z</dcterms:modified>
</cp:coreProperties>
</file>